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vbaProject.bin" ContentType="application/vnd.ms-office.vbaProject"/>
  <Override PartName="/word/fontTable.xml" ContentType="application/vnd.openxmlformats-officedocument.wordprocessingml.fontTable+xml"/>
  <Override PartName="/word/styles.xml" ContentType="application/vnd.openxmlformats-officedocument.wordprocessingml.styles+xml"/>
  <Override PartName="/word/footnotes.xml" ContentType="application/vnd.openxmlformats-officedocument.wordprocessingml.footnotes+xml"/>
  <Override PartName="/word/embeddings/oleObject1.bin" ContentType="application/vnd.openxmlformats-officedocument.oleObject"/>
  <Override PartName="/word/_rels/document.xml.rels" ContentType="application/vnd.openxmlformats-package.relationships+xml"/>
  <Override PartName="/word/settings.xml" ContentType="application/vnd.openxmlformats-officedocument.wordprocessingml.settings+xml"/>
  <Override PartName="/word/media/image17.jpeg" ContentType="image/jpeg"/>
  <Override PartName="/word/media/image15.png" ContentType="image/png"/>
  <Override PartName="/word/media/image14.png" ContentType="image/png"/>
  <Override PartName="/word/media/image13.png" ContentType="image/png"/>
  <Override PartName="/word/media/image10.png" ContentType="image/png"/>
  <Override PartName="/word/media/image9.jpeg" ContentType="image/jpeg"/>
  <Override PartName="/word/media/image8.jpeg" ContentType="image/jpeg"/>
  <Override PartName="/word/media/image7.jpeg" ContentType="image/jpeg"/>
  <Override PartName="/word/media/image12.png" ContentType="image/png"/>
  <Override PartName="/word/media/image6.jpeg" ContentType="image/jpeg"/>
  <Override PartName="/word/media/image5.jpeg" ContentType="image/jpeg"/>
  <Override PartName="/word/media/image4.jpeg" ContentType="image/jpeg"/>
  <Override PartName="/word/media/image16.wmf" ContentType="image/x-wmf"/>
  <Override PartName="/word/media/image3.jpeg" ContentType="image/jpeg"/>
  <Override PartName="/word/media/image2.jpeg" ContentType="image/jpeg"/>
  <Override PartName="/word/media/image11.png" ContentType="image/png"/>
  <Override PartName="/word/media/image1.jpeg" ContentType="image/jpeg"/>
  <Override PartName="/word/numbering.xml" ContentType="application/vnd.openxmlformats-officedocument.wordprocessingml.numbering+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`ME-</w:t>
      </w:r>
      <w:r>
        <w:rPr>
          <w:rStyle w:val="Unicode"/>
          <w:b/>
          <w:bCs/>
        </w:rPr>
        <w:t xml:space="preserve"> Manat</w:t>
      </w:r>
      <w:r>
        <w:rPr/>
        <w:t xml:space="preserve"> on Camel </w:t>
      </w:r>
    </w:p>
    <w:p>
      <w:pPr>
        <w:pStyle w:val="Normal"/>
        <w:rPr/>
      </w:pPr>
      <w:r>
        <w:rPr/>
        <w:t xml:space="preserve">Terracotta figurine of </w:t>
      </w:r>
      <w:r>
        <w:rPr>
          <w:rStyle w:val="Unicode"/>
          <w:b/>
          <w:bCs/>
        </w:rPr>
        <w:t>Manat</w:t>
      </w:r>
      <w:r>
        <w:rPr/>
        <w:t xml:space="preserve"> on Camel, 16 cm. x 13 cm. </w:t>
      </w:r>
    </w:p>
    <w:p>
      <w:pPr>
        <w:pStyle w:val="Normal"/>
        <w:rPr/>
      </w:pPr>
      <w:r>
        <w:rPr/>
        <w:drawing>
          <wp:inline distT="0" distB="0" distL="0" distR="0">
            <wp:extent cx="6125210" cy="6613525"/>
            <wp:effectExtent l="0" t="0" r="0" b="0"/>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
                    <a:srcRect l="-10" t="-10" r="-10" b="-10"/>
                    <a:stretch>
                      <a:fillRect/>
                    </a:stretch>
                  </pic:blipFill>
                  <pic:spPr bwMode="auto">
                    <a:xfrm>
                      <a:off x="0" y="0"/>
                      <a:ext cx="6125210" cy="6613525"/>
                    </a:xfrm>
                    <a:prstGeom prst="rect">
                      <a:avLst/>
                    </a:prstGeom>
                  </pic:spPr>
                </pic:pic>
              </a:graphicData>
            </a:graphic>
          </wp:inline>
        </w:drawing>
      </w:r>
    </w:p>
    <w:p>
      <w:pPr>
        <w:pStyle w:val="NormalWeb"/>
        <w:rPr/>
      </w:pPr>
      <w:r>
        <w:rPr>
          <w:rStyle w:val="Unicode"/>
          <w:b/>
          <w:bCs/>
        </w:rPr>
        <w:t xml:space="preserve">Fig. 1. Half-body statuette </w:t>
      </w:r>
      <w:r>
        <w:rPr/>
        <w:t xml:space="preserve">wearing a tunic covered by a himation gown and secured on camelback by a heavily folded tapestry. She is portrayed as holding, with both hands, a round object, One interpretation is that it is  a tambourine, a musical instrument that was played by women accompanying ceremonial processions in military triumphs in pre-Islamic Arabia. Another interpretation is that it was a sacred globular stone, a baetyl, in which a deity inhered with magical apotropaic powers. In either case the seated figure is performing a ritual rite to protect her believers. It should also be noted that "A rider on a camel is an iconographical convention representing Arabia or the Nabatean kingdom" ( Patrich 1990:73, n. 53). </w:t>
      </w:r>
    </w:p>
    <w:p>
      <w:pPr>
        <w:pStyle w:val="NormalWeb"/>
        <w:rPr/>
      </w:pPr>
      <w:r>
        <w:rPr/>
        <w:drawing>
          <wp:inline distT="0" distB="0" distL="0" distR="0">
            <wp:extent cx="5534025" cy="5943600"/>
            <wp:effectExtent l="0" t="0" r="0" b="0"/>
            <wp:docPr id="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title=""/>
                    <pic:cNvPicPr>
                      <a:picLocks noChangeAspect="1" noChangeArrowheads="1"/>
                    </pic:cNvPicPr>
                  </pic:nvPicPr>
                  <pic:blipFill>
                    <a:blip r:embed="rId3"/>
                    <a:srcRect l="-8" t="-8" r="-8" b="-8"/>
                    <a:stretch>
                      <a:fillRect/>
                    </a:stretch>
                  </pic:blipFill>
                  <pic:spPr bwMode="auto">
                    <a:xfrm>
                      <a:off x="0" y="0"/>
                      <a:ext cx="5534025" cy="5943600"/>
                    </a:xfrm>
                    <a:prstGeom prst="rect">
                      <a:avLst/>
                    </a:prstGeom>
                  </pic:spPr>
                </pic:pic>
              </a:graphicData>
            </a:graphic>
          </wp:inline>
        </w:drawing>
      </w:r>
    </w:p>
    <w:p>
      <w:pPr>
        <w:pStyle w:val="NormalWeb"/>
        <w:rPr/>
      </w:pPr>
      <w:r>
        <w:rPr/>
        <w:t xml:space="preserve">Fig. 2. </w:t>
      </w:r>
      <w:r>
        <w:rPr>
          <w:rStyle w:val="Unicode"/>
          <w:b/>
          <w:bCs/>
        </w:rPr>
        <w:t xml:space="preserve">Fig. 1. Half-body statuette of Manat. </w:t>
      </w:r>
      <w:r>
        <w:rPr/>
        <w:t>A diagonal feature that was applied when the clay was wet but has since been broken off. This may have been the double pointed arrow of Menat.</w:t>
      </w:r>
    </w:p>
    <w:p>
      <w:pPr>
        <w:pStyle w:val="NormalWeb"/>
        <w:rPr/>
      </w:pPr>
      <w:r>
        <w:rPr/>
        <w:t>A case for this statuette being a figure of Manat is that there is a hint of a diagonal feature that had been applied when the clay was wet but has since been broken off. This may have been the double pointed arrow of Menat.</w:t>
      </w:r>
    </w:p>
    <w:p>
      <w:pPr>
        <w:pStyle w:val="NormalWeb"/>
        <w:rPr/>
      </w:pPr>
      <w:r>
        <w:rPr>
          <w:rStyle w:val="Unicode"/>
          <w:b/>
          <w:bCs/>
        </w:rPr>
        <w:t>Manāt</w:t>
      </w:r>
      <w:r>
        <w:rPr/>
        <w:t xml:space="preserve"> (</w:t>
      </w:r>
      <w:hyperlink r:id="rId4">
        <w:r>
          <w:rPr>
            <w:rStyle w:val="InternetLink"/>
          </w:rPr>
          <w:t>Arabic</w:t>
        </w:r>
      </w:hyperlink>
      <w:r>
        <w:rPr/>
        <w:t xml:space="preserve">: </w:t>
      </w:r>
      <w:r>
        <w:rPr>
          <w:rtl w:val="true"/>
          <w:lang w:bidi="ar"/>
        </w:rPr>
        <w:t>مناة</w:t>
      </w:r>
      <w:r>
        <w:rPr/>
        <w:t>‎</w:t>
      </w:r>
      <w:r>
        <w:rPr/>
        <w:t xml:space="preserve">; also transliterated as </w:t>
      </w:r>
      <w:r>
        <w:rPr>
          <w:rStyle w:val="Unicode"/>
          <w:i/>
          <w:iCs/>
        </w:rPr>
        <w:t>manāh</w:t>
      </w:r>
      <w:r>
        <w:rPr/>
        <w:t xml:space="preserve">) was one of the three chief goddesses of </w:t>
      </w:r>
      <w:hyperlink r:id="rId5">
        <w:r>
          <w:rPr>
            <w:rStyle w:val="InternetLink"/>
          </w:rPr>
          <w:t>Mecca</w:t>
        </w:r>
      </w:hyperlink>
      <w:r>
        <w:rPr/>
        <w:t>.</w:t>
      </w:r>
      <w:r>
        <w:fldChar w:fldCharType="begin"/>
      </w:r>
      <w:r>
        <w:rPr>
          <w:rStyle w:val="InternetLink"/>
          <w:vertAlign w:val="superscript"/>
        </w:rPr>
        <w:instrText> HYPERLINK "http://en.wikipedia.org/wiki/Manāt" \l "cite_note-book-1"</w:instrText>
      </w:r>
      <w:r>
        <w:rPr>
          <w:rStyle w:val="InternetLink"/>
          <w:vertAlign w:val="superscript"/>
        </w:rPr>
        <w:fldChar w:fldCharType="separate"/>
      </w:r>
      <w:r>
        <w:rPr>
          <w:rStyle w:val="InternetLink"/>
          <w:vertAlign w:val="superscript"/>
        </w:rPr>
        <w:t>[1]</w:t>
      </w:r>
      <w:r>
        <w:rPr>
          <w:rStyle w:val="InternetLink"/>
          <w:vertAlign w:val="superscript"/>
        </w:rPr>
        <w:fldChar w:fldCharType="end"/>
      </w:r>
      <w:r>
        <w:rPr/>
        <w:t xml:space="preserve"> The pre-Islamic Arabs believed Manāt to be the goddess of fate. She was known by the cognate name </w:t>
      </w:r>
      <w:r>
        <w:rPr>
          <w:i/>
          <w:iCs/>
        </w:rPr>
        <w:t>Manawat</w:t>
      </w:r>
      <w:r>
        <w:rPr/>
        <w:t xml:space="preserve"> to the </w:t>
      </w:r>
      <w:hyperlink r:id="rId6">
        <w:r>
          <w:rPr>
            <w:rStyle w:val="InternetLink"/>
          </w:rPr>
          <w:t>Nabataeans</w:t>
        </w:r>
      </w:hyperlink>
      <w:r>
        <w:rPr/>
        <w:t xml:space="preserve"> of </w:t>
      </w:r>
      <w:hyperlink r:id="rId7">
        <w:r>
          <w:rPr>
            <w:rStyle w:val="InternetLink"/>
          </w:rPr>
          <w:t>Petra</w:t>
        </w:r>
      </w:hyperlink>
      <w:r>
        <w:rPr/>
        <w:t xml:space="preserve">, who equated her with the Graeco-Roman goddess </w:t>
      </w:r>
      <w:hyperlink r:id="rId8">
        <w:r>
          <w:rPr>
            <w:rStyle w:val="InternetLink"/>
          </w:rPr>
          <w:t>Nemesis</w:t>
        </w:r>
      </w:hyperlink>
      <w:r>
        <w:rPr/>
        <w:t xml:space="preserve"> and she was considered the wife of </w:t>
      </w:r>
      <w:hyperlink r:id="rId9">
        <w:r>
          <w:rPr>
            <w:rStyle w:val="InternetLink"/>
          </w:rPr>
          <w:t>Hubal</w:t>
        </w:r>
      </w:hyperlink>
      <w:r>
        <w:rPr/>
        <w:t>.</w:t>
      </w:r>
      <w:r>
        <w:fldChar w:fldCharType="begin"/>
      </w:r>
      <w:r>
        <w:rPr>
          <w:rStyle w:val="InternetLink"/>
          <w:vertAlign w:val="superscript"/>
        </w:rPr>
        <w:instrText> HYPERLINK "http://en.wikipedia.org/wiki/Manāt" \l "cite_note-2"</w:instrText>
      </w:r>
      <w:r>
        <w:rPr>
          <w:rStyle w:val="InternetLink"/>
          <w:vertAlign w:val="superscript"/>
        </w:rPr>
        <w:fldChar w:fldCharType="separate"/>
      </w:r>
      <w:r>
        <w:rPr>
          <w:rStyle w:val="InternetLink"/>
          <w:vertAlign w:val="superscript"/>
        </w:rPr>
        <w:t>[2]</w:t>
      </w:r>
      <w:r>
        <w:rPr>
          <w:rStyle w:val="InternetLink"/>
          <w:vertAlign w:val="superscript"/>
        </w:rPr>
        <w:fldChar w:fldCharType="end"/>
      </w:r>
      <w:r>
        <w:rPr/>
        <w:t xml:space="preserve"> The </w:t>
      </w:r>
      <w:hyperlink r:id="rId10">
        <w:r>
          <w:rPr>
            <w:rStyle w:val="InternetLink"/>
          </w:rPr>
          <w:t>Qur'an</w:t>
        </w:r>
      </w:hyperlink>
      <w:r>
        <w:rPr/>
        <w:t xml:space="preserve"> confirmed that the pre-Islamic Arabs believed that some female idols were daughters of God, like </w:t>
      </w:r>
      <w:hyperlink r:id="rId11">
        <w:r>
          <w:rPr>
            <w:rStyle w:val="InternetLink"/>
          </w:rPr>
          <w:t>Allāt</w:t>
        </w:r>
      </w:hyperlink>
      <w:r>
        <w:rPr/>
        <w:t xml:space="preserve">, </w:t>
      </w:r>
      <w:hyperlink r:id="rId12">
        <w:r>
          <w:rPr>
            <w:rStyle w:val="InternetLink"/>
          </w:rPr>
          <w:t>Al-‘Uzzá</w:t>
        </w:r>
      </w:hyperlink>
      <w:r>
        <w:rPr/>
        <w:t>, and Manāt.</w:t>
      </w:r>
      <w:r>
        <w:fldChar w:fldCharType="begin"/>
      </w:r>
      <w:r>
        <w:rPr>
          <w:rStyle w:val="InternetLink"/>
          <w:vertAlign w:val="superscript"/>
        </w:rPr>
        <w:instrText> HYPERLINK "http://en.wikipedia.org/wiki/Manāt" \l "cite_note-3"</w:instrText>
      </w:r>
      <w:r>
        <w:rPr>
          <w:rStyle w:val="InternetLink"/>
          <w:vertAlign w:val="superscript"/>
        </w:rPr>
        <w:fldChar w:fldCharType="separate"/>
      </w:r>
      <w:r>
        <w:rPr>
          <w:rStyle w:val="InternetLink"/>
          <w:vertAlign w:val="superscript"/>
        </w:rPr>
        <w:t>[3]</w:t>
      </w:r>
      <w:r>
        <w:rPr>
          <w:rStyle w:val="InternetLink"/>
          <w:vertAlign w:val="superscript"/>
        </w:rPr>
        <w:fldChar w:fldCharType="end"/>
      </w:r>
      <w:r>
        <w:rPr/>
        <w:t xml:space="preserve"> According to Grunebaum in </w:t>
      </w:r>
      <w:r>
        <w:rPr>
          <w:i/>
          <w:iCs/>
        </w:rPr>
        <w:t>Classical Islam</w:t>
      </w:r>
      <w:r>
        <w:rPr/>
        <w:t xml:space="preserve">, the Arabic name of Manat is the linguistic counterpart of the Hellenistic </w:t>
      </w:r>
      <w:hyperlink r:id="rId13">
        <w:r>
          <w:rPr>
            <w:rStyle w:val="InternetLink"/>
          </w:rPr>
          <w:t>Tyche</w:t>
        </w:r>
      </w:hyperlink>
      <w:r>
        <w:rPr/>
        <w:t xml:space="preserve">, </w:t>
      </w:r>
      <w:hyperlink r:id="rId14">
        <w:r>
          <w:rPr>
            <w:rStyle w:val="InternetLink"/>
          </w:rPr>
          <w:t>Dahr</w:t>
        </w:r>
      </w:hyperlink>
      <w:r>
        <w:rPr/>
        <w:t xml:space="preserve">, fateful 'Time' who snatches men away and robs their existence of purpose and value. There are also connections with </w:t>
      </w:r>
      <w:hyperlink r:id="rId15">
        <w:r>
          <w:rPr>
            <w:rStyle w:val="InternetLink"/>
          </w:rPr>
          <w:t>Chronos</w:t>
        </w:r>
      </w:hyperlink>
      <w:r>
        <w:rPr/>
        <w:t xml:space="preserve"> of </w:t>
      </w:r>
      <w:hyperlink r:id="rId16">
        <w:r>
          <w:rPr>
            <w:rStyle w:val="InternetLink"/>
          </w:rPr>
          <w:t>Mithraism</w:t>
        </w:r>
      </w:hyperlink>
      <w:r>
        <w:rPr/>
        <w:t xml:space="preserve"> and </w:t>
      </w:r>
      <w:hyperlink r:id="rId17">
        <w:r>
          <w:rPr>
            <w:rStyle w:val="InternetLink"/>
          </w:rPr>
          <w:t>Zurvan</w:t>
        </w:r>
      </w:hyperlink>
      <w:r>
        <w:rPr/>
        <w:t xml:space="preserve"> mythology.</w:t>
      </w:r>
      <w:r>
        <w:fldChar w:fldCharType="begin"/>
      </w:r>
      <w:r>
        <w:rPr>
          <w:rStyle w:val="InternetLink"/>
          <w:vertAlign w:val="superscript"/>
        </w:rPr>
        <w:instrText> HYPERLINK "http://en.wikipedia.org/wiki/Manāt" \l "cite_note-4"</w:instrText>
      </w:r>
      <w:r>
        <w:rPr>
          <w:rStyle w:val="InternetLink"/>
          <w:vertAlign w:val="superscript"/>
        </w:rPr>
        <w:fldChar w:fldCharType="separate"/>
      </w:r>
      <w:r>
        <w:rPr>
          <w:rStyle w:val="InternetLink"/>
          <w:vertAlign w:val="superscript"/>
        </w:rPr>
        <w:t>[4]</w:t>
      </w:r>
      <w:r>
        <w:rPr>
          <w:rStyle w:val="InternetLink"/>
          <w:vertAlign w:val="superscript"/>
        </w:rPr>
        <w:fldChar w:fldCharType="end"/>
      </w:r>
      <w:r>
        <w:rPr/>
        <w:t xml:space="preserve"> The </w:t>
      </w:r>
      <w:hyperlink r:id="rId18">
        <w:r>
          <w:rPr>
            <w:rStyle w:val="InternetLink"/>
            <w:i/>
            <w:iCs/>
          </w:rPr>
          <w:t>Book of Idols</w:t>
        </w:r>
      </w:hyperlink>
      <w:r>
        <w:rPr/>
        <w:t xml:space="preserve"> describes her:</w:t>
      </w:r>
    </w:p>
    <w:p>
      <w:pPr>
        <w:pStyle w:val="Normal"/>
        <w:rPr/>
      </w:pPr>
      <w:r>
        <w:rPr/>
        <w:t xml:space="preserve">The most ancient of all these idols was Manāt. The Arabs used to name [their children] 'Abd-Manāt and Zayd-Manāt. Manāt was erected on the seashore in the vicinity of al-Mushallal in Qudayd, between </w:t>
      </w:r>
      <w:hyperlink r:id="rId19">
        <w:r>
          <w:rPr>
            <w:rStyle w:val="InternetLink"/>
          </w:rPr>
          <w:t>Medina</w:t>
        </w:r>
      </w:hyperlink>
      <w:r>
        <w:rPr/>
        <w:t xml:space="preserve"> and </w:t>
      </w:r>
      <w:hyperlink r:id="rId20">
        <w:r>
          <w:rPr>
            <w:rStyle w:val="InternetLink"/>
          </w:rPr>
          <w:t>Mecca</w:t>
        </w:r>
      </w:hyperlink>
      <w:r>
        <w:rPr/>
        <w:t xml:space="preserve">. All the Arabs used to venerate her and sacrifice before her. The Aws and the Khazraj, as well as the inhabitants of Medina and Mecca and their vicinities, used to venerate Manāt, sacrifice before her, and bring unto her their offerings... The Aws and the Khazraj, as well as those Arabs among the people of </w:t>
      </w:r>
      <w:hyperlink r:id="rId21">
        <w:r>
          <w:rPr>
            <w:rStyle w:val="InternetLink"/>
          </w:rPr>
          <w:t>Yathrib</w:t>
        </w:r>
      </w:hyperlink>
      <w:r>
        <w:rPr/>
        <w:t xml:space="preserve"> and other places who took to their way of life, were wont to go on pilgrimage and observe the vigil at all the appointed places, but not shave their heads. At the end of the pilgrimage, however, when they were about to return home, they would set out to the place where Manāt stood, shave their heads, and stay there a while. They did not consider their pilgrimage completed until they visited Manāt.</w:t>
      </w:r>
    </w:p>
    <w:p>
      <w:pPr>
        <w:pStyle w:val="Normal"/>
        <w:rPr>
          <w:vertAlign w:val="superscript"/>
        </w:rPr>
      </w:pPr>
      <w:r>
        <w:rPr/>
        <w:t>—</w:t>
      </w:r>
      <w:r>
        <w:rPr>
          <w:i/>
          <w:iCs/>
        </w:rPr>
        <w:t>Book of Idols</w:t>
      </w:r>
      <w:r>
        <w:rPr/>
        <w:t>, pp 12–14</w:t>
      </w:r>
      <w:r>
        <w:fldChar w:fldCharType="begin"/>
      </w:r>
      <w:r>
        <w:rPr>
          <w:rStyle w:val="InternetLink"/>
          <w:vertAlign w:val="superscript"/>
        </w:rPr>
        <w:instrText> HYPERLINK "http://en.wikipedia.org/wiki/Manāt" \l "cite_note-5"</w:instrText>
      </w:r>
      <w:r>
        <w:rPr>
          <w:rStyle w:val="InternetLink"/>
          <w:vertAlign w:val="superscript"/>
        </w:rPr>
        <w:fldChar w:fldCharType="separate"/>
      </w:r>
      <w:r>
        <w:rPr>
          <w:rStyle w:val="InternetLink"/>
          <w:vertAlign w:val="superscript"/>
        </w:rPr>
        <w:t>[5]</w:t>
      </w:r>
      <w:r>
        <w:rPr>
          <w:rStyle w:val="InternetLink"/>
          <w:vertAlign w:val="superscript"/>
        </w:rPr>
        <w:fldChar w:fldCharType="end"/>
      </w:r>
    </w:p>
    <w:p>
      <w:pPr>
        <w:pStyle w:val="Normal"/>
        <w:rPr/>
      </w:pPr>
      <w:r>
        <w:rPr/>
      </w:r>
    </w:p>
    <w:p>
      <w:pPr>
        <w:pStyle w:val="Normal"/>
        <w:jc w:val="center"/>
        <w:rPr/>
      </w:pPr>
      <w:r>
        <w:rPr/>
        <w:drawing>
          <wp:inline distT="0" distB="0" distL="0" distR="0">
            <wp:extent cx="5296535" cy="7694930"/>
            <wp:effectExtent l="0" t="0" r="0" b="0"/>
            <wp:docPr id="3"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title=""/>
                    <pic:cNvPicPr>
                      <a:picLocks noChangeAspect="1" noChangeArrowheads="1"/>
                    </pic:cNvPicPr>
                  </pic:nvPicPr>
                  <pic:blipFill>
                    <a:blip r:embed="rId22"/>
                    <a:srcRect l="-10" t="-7" r="-10" b="-7"/>
                    <a:stretch>
                      <a:fillRect/>
                    </a:stretch>
                  </pic:blipFill>
                  <pic:spPr bwMode="auto">
                    <a:xfrm>
                      <a:off x="0" y="0"/>
                      <a:ext cx="5296535" cy="7694930"/>
                    </a:xfrm>
                    <a:prstGeom prst="rect">
                      <a:avLst/>
                    </a:prstGeom>
                  </pic:spPr>
                </pic:pic>
              </a:graphicData>
            </a:graphic>
          </wp:inline>
        </w:drawing>
      </w:r>
    </w:p>
    <w:p>
      <w:pPr>
        <w:pStyle w:val="Normal"/>
        <w:rPr/>
      </w:pPr>
      <w:r>
        <w:rPr/>
      </w:r>
    </w:p>
    <w:p>
      <w:pPr>
        <w:pStyle w:val="Normal"/>
        <w:rPr/>
      </w:pPr>
      <w:r>
        <w:rPr/>
        <w:drawing>
          <wp:inline distT="0" distB="0" distL="0" distR="0">
            <wp:extent cx="2867025" cy="5267325"/>
            <wp:effectExtent l="0" t="0" r="0" b="0"/>
            <wp:docPr id="4"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title=""/>
                    <pic:cNvPicPr>
                      <a:picLocks noChangeAspect="1" noChangeArrowheads="1"/>
                    </pic:cNvPicPr>
                  </pic:nvPicPr>
                  <pic:blipFill>
                    <a:blip r:embed="rId23"/>
                    <a:srcRect l="-16" t="-9" r="-16" b="-9"/>
                    <a:stretch>
                      <a:fillRect/>
                    </a:stretch>
                  </pic:blipFill>
                  <pic:spPr bwMode="auto">
                    <a:xfrm>
                      <a:off x="0" y="0"/>
                      <a:ext cx="2867025" cy="5267325"/>
                    </a:xfrm>
                    <a:prstGeom prst="rect">
                      <a:avLst/>
                    </a:prstGeom>
                  </pic:spPr>
                </pic:pic>
              </a:graphicData>
            </a:graphic>
          </wp:inline>
        </w:drawing>
      </w:r>
      <w:r>
        <w:rPr>
          <w:rFonts w:eastAsia="Times New Roman"/>
        </w:rPr>
        <w:t xml:space="preserve"> </w:t>
      </w:r>
      <w:r>
        <w:rPr/>
        <w:drawing>
          <wp:inline distT="0" distB="0" distL="0" distR="0">
            <wp:extent cx="3543300" cy="5266690"/>
            <wp:effectExtent l="0" t="0" r="0" b="0"/>
            <wp:docPr id="5"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title=""/>
                    <pic:cNvPicPr>
                      <a:picLocks noChangeAspect="1" noChangeArrowheads="1"/>
                    </pic:cNvPicPr>
                  </pic:nvPicPr>
                  <pic:blipFill>
                    <a:blip r:embed="rId24"/>
                    <a:srcRect l="-23" t="-15" r="-23" b="-15"/>
                    <a:stretch>
                      <a:fillRect/>
                    </a:stretch>
                  </pic:blipFill>
                  <pic:spPr bwMode="auto">
                    <a:xfrm>
                      <a:off x="0" y="0"/>
                      <a:ext cx="3543300" cy="5266690"/>
                    </a:xfrm>
                    <a:prstGeom prst="rect">
                      <a:avLst/>
                    </a:prstGeom>
                  </pic:spPr>
                </pic:pic>
              </a:graphicData>
            </a:graphic>
          </wp:inline>
        </w:drawing>
      </w:r>
    </w:p>
    <w:p>
      <w:pPr>
        <w:pStyle w:val="Normal"/>
        <w:rPr/>
      </w:pPr>
      <w:r>
        <w:rPr>
          <w:rStyle w:val="Description"/>
        </w:rPr>
        <w:t>Manat (Manah) on a camel, with tambourine and double arrowhead baton as an apotropaic device in a bas-relief from the city of Taif, Saudi Arabia, around 100 AD.</w:t>
      </w:r>
    </w:p>
    <w:p>
      <w:pPr>
        <w:pStyle w:val="Normal"/>
        <w:rPr>
          <w:rStyle w:val="Description"/>
        </w:rPr>
      </w:pPr>
      <w:r>
        <w:rPr>
          <w:rStyle w:val="Description"/>
        </w:rPr>
        <w:t xml:space="preserve">Left: Relief after http://upload.wikimedia.org/wikipedia/commons/d/d6/Allat.jpg. </w:t>
      </w:r>
    </w:p>
    <w:p>
      <w:pPr>
        <w:pStyle w:val="Normal"/>
        <w:rPr>
          <w:rStyle w:val="Description"/>
        </w:rPr>
      </w:pPr>
      <w:r>
        <w:rPr>
          <w:rStyle w:val="Description"/>
        </w:rPr>
        <w:t>Right: Plaque relief after  http://i946.photobucket.com/albums/ad308/Thelitesoul/al-lat.jpg</w:t>
      </w:r>
    </w:p>
    <w:p>
      <w:pPr>
        <w:pStyle w:val="Normal"/>
        <w:rPr>
          <w:rStyle w:val="Description"/>
        </w:rPr>
      </w:pPr>
      <w:r>
        <w:rPr/>
      </w:r>
    </w:p>
    <w:p>
      <w:pPr>
        <w:pStyle w:val="Normal"/>
        <w:rPr/>
      </w:pPr>
      <w:r>
        <w:rPr/>
        <w:t xml:space="preserve">Manat  (Manah)  had the two pointed sword Dhu al-Faqar that in </w:t>
      </w:r>
      <w:r>
        <w:rPr>
          <w:rStyle w:val="Copy"/>
        </w:rPr>
        <w:t>Islamic mythology is the two-pointed magical sword that represents ‘Ali, fourth caliph and son-in-law of Muhammad. It was originally owned by an unbeliever, al-‘As ibn Munabbih, Dhu al-faqar.  Ali found this sword when he was ordered by Muhammed to destroy the idol, Manah. He found this sword together with another one as a part of the treasure given to Manah by the Arabs as religious offerings.</w:t>
      </w:r>
      <w:r>
        <w:rPr/>
        <w:t xml:space="preserve"> (The Encyclopedia of Islam, Vol. 2)</w:t>
      </w:r>
    </w:p>
    <w:p>
      <w:pPr>
        <w:pStyle w:val="NormalWeb"/>
        <w:rPr/>
      </w:pPr>
      <w:r>
        <w:rPr>
          <w:b/>
          <w:bCs/>
          <w:u w:val="single"/>
        </w:rPr>
        <w:t>Manah</w:t>
      </w:r>
      <w:r>
        <w:rPr/>
        <w:t xml:space="preserve"> (from the book of Idols)</w:t>
      </w:r>
    </w:p>
    <w:p>
      <w:pPr>
        <w:pStyle w:val="NormalWeb"/>
        <w:jc w:val="start"/>
        <w:rPr/>
      </w:pPr>
      <w:r>
        <w:rPr/>
        <w:t>"The most ancient of all Arab idols was Manah. The Arabs used to name [their children] 'Abd-Manah and Zayd-Manah. Manah was erected on the seashore in the vicinity of al-Mushallal in Qudayd, between Medina and Mecca. All the Arabs used to venerate her and sacrifice before her. [In particular] the Aws</w:t>
      </w:r>
      <w:r>
        <w:fldChar w:fldCharType="begin"/>
      </w:r>
      <w:r>
        <w:rPr>
          <w:rStyle w:val="InternetLink"/>
        </w:rPr>
        <w:instrText> HYPERLINK "http://answering-islam.org/Books/Al-Kalbi/manah.htm" \l "6%236"</w:instrText>
      </w:r>
      <w:r>
        <w:rPr>
          <w:rStyle w:val="InternetLink"/>
        </w:rPr>
        <w:fldChar w:fldCharType="separate"/>
      </w:r>
      <w:r>
        <w:rPr>
          <w:rStyle w:val="InternetLink"/>
        </w:rPr>
        <w:t>[6]</w:t>
      </w:r>
      <w:r>
        <w:rPr>
          <w:rStyle w:val="InternetLink"/>
        </w:rPr>
        <w:fldChar w:fldCharType="end"/>
      </w:r>
      <w:r>
        <w:rPr/>
        <w:t xml:space="preserve"> and the Khazraj, as well as the inhabitants of Medina and Mecca and their vicinities, used to venerate Manah, sacrifice before her, and bring unto her their offerings. No body venerated her more than the Aws and the Khazraj. </w:t>
      </w:r>
    </w:p>
    <w:p>
      <w:pPr>
        <w:pStyle w:val="Normal"/>
        <w:jc w:val="start"/>
        <w:rPr/>
      </w:pPr>
      <w:r>
        <w:rPr/>
        <w:t xml:space="preserve">During the Jahiliyah days, the Arabs were used to call both the Aws and the Khazraj by the single generic name, al-Khazraj. For this reason the part said, "at the sacred place of the Khazraj." This Manah is that which God mentioned when He said, "And Manah, the third idol besides." She was the [goddess] of the Hudhayl and the Khuza'ah. </w:t>
      </w:r>
    </w:p>
    <w:p>
      <w:pPr>
        <w:pStyle w:val="NormalWeb"/>
        <w:jc w:val="start"/>
        <w:rPr/>
      </w:pPr>
      <w:r>
        <w:rPr/>
        <w:t xml:space="preserve">The Quraysh as well as the rest of the Arabs continued to venerate Manah until the Apostle of God set out from Medina in the eighth year of the Hijrah, the year in which God accorded him the victory. When he was at a distance of four or five nights from Medina, he dispatched 'Ali to destroy her. 'Ali demolished her, took away all her [treasures], and carried them back to the Prophet. Among the treasures which 'Ali carried away were two swords which had been presented to [Manah] by al-Harith ibn-abi-Shamir al-Ghassani, the king of Ghassan. The one sword was called Mikhdham and the other Rasub. They are the two swords of al-Harith which 'Alqamah mentions in one of his poems. He said: </w:t>
      </w:r>
    </w:p>
    <w:p>
      <w:pPr>
        <w:pStyle w:val="Normal"/>
        <w:ind w:start="720" w:hanging="0"/>
        <w:rPr/>
      </w:pPr>
      <w:r>
        <w:rPr/>
        <w:t xml:space="preserve">"Wearing two coats of mail as well as </w:t>
        <w:br/>
        <w:t>Two studded swords, Mikhdham and Rasub</w:t>
      </w:r>
    </w:p>
    <w:p>
      <w:pPr>
        <w:pStyle w:val="NormalWeb"/>
        <w:jc w:val="start"/>
        <w:rPr/>
      </w:pPr>
      <w:r>
        <w:rPr/>
        <w:t xml:space="preserve">The Prophet gave these two swords to 'Ali. It is, therefore, said that dhu-al-Faqar, the sword of 'Ali, was one of them. </w:t>
      </w:r>
    </w:p>
    <w:p>
      <w:pPr>
        <w:pStyle w:val="NormalWeb"/>
        <w:jc w:val="start"/>
        <w:rPr/>
      </w:pPr>
      <w:r>
        <w:rPr/>
        <w:t>It is also said that 'Ali found these two swords in [the temple of] al-Fals</w:t>
      </w:r>
      <w:r>
        <w:fldChar w:fldCharType="begin"/>
      </w:r>
      <w:r>
        <w:rPr>
          <w:rStyle w:val="InternetLink"/>
        </w:rPr>
        <w:instrText> HYPERLINK "http://answering-islam.org/Books/Al-Kalbi/manah.htm" \l "21%2321"</w:instrText>
      </w:r>
      <w:r>
        <w:rPr>
          <w:rStyle w:val="InternetLink"/>
        </w:rPr>
        <w:fldChar w:fldCharType="separate"/>
      </w:r>
      <w:r>
        <w:rPr>
          <w:rStyle w:val="InternetLink"/>
        </w:rPr>
        <w:t>[21]</w:t>
      </w:r>
      <w:r>
        <w:rPr>
          <w:rStyle w:val="InternetLink"/>
        </w:rPr>
        <w:fldChar w:fldCharType="end"/>
      </w:r>
      <w:r>
        <w:rPr/>
        <w:t>, the idol of the Tayyi', whither the Prophet had sent him, and which he also destroyed</w:t>
      </w:r>
      <w:r>
        <w:rPr>
          <w:rStyle w:val="FootnoteCharacters"/>
          <w:rStyle w:val="FootnoteAnchor"/>
        </w:rPr>
        <w:footnoteReference w:id="2"/>
      </w:r>
      <w:r>
        <w:rPr/>
        <w:t>"</w:t>
      </w:r>
    </w:p>
    <w:p>
      <w:pPr>
        <w:pStyle w:val="Normal"/>
        <w:rPr/>
      </w:pPr>
      <w:r>
        <w:fldChar w:fldCharType="begin"/>
      </w:r>
      <w:r>
        <w:rPr>
          <w:rStyle w:val="InternetLink"/>
        </w:rPr>
        <w:instrText> HYPERLINK "http://answering-islam.org/Books/Al-Kalbi/manah.htm" \l "14"</w:instrText>
      </w:r>
      <w:r>
        <w:rPr>
          <w:rStyle w:val="InternetLink"/>
        </w:rPr>
        <w:fldChar w:fldCharType="separate"/>
      </w:r>
      <w:r>
        <w:rPr>
          <w:rStyle w:val="InternetLink"/>
        </w:rPr>
        <w:t>http://answering-islam.org/Books/Al-Kalbi/manah.htm#14</w:t>
      </w:r>
      <w:r>
        <w:rPr>
          <w:rStyle w:val="InternetLink"/>
        </w:rPr>
        <w:fldChar w:fldCharType="end"/>
      </w:r>
    </w:p>
    <w:p>
      <w:pPr>
        <w:pStyle w:val="Normal"/>
        <w:rPr/>
      </w:pPr>
      <w:r>
        <w:rPr/>
      </w:r>
    </w:p>
    <w:p>
      <w:pPr>
        <w:pStyle w:val="Normal"/>
        <w:rPr/>
      </w:pPr>
      <w:r>
        <w:rPr/>
        <w:t xml:space="preserve">Franz Cumont has drawn attention to the double Fortuna divinity of the  Semites and their processions on the backs of camels in his 1917 </w:t>
      </w:r>
      <w:r>
        <w:rPr>
          <w:i/>
          <w:iCs/>
        </w:rPr>
        <w:t>Études syriennes</w:t>
      </w:r>
      <w:r>
        <w:rPr/>
        <w:t xml:space="preserve"> in which he reproduces a terracotta figurine from Damascus of these figures:</w:t>
      </w:r>
    </w:p>
    <w:p>
      <w:pPr>
        <w:pStyle w:val="Normal"/>
        <w:jc w:val="center"/>
        <w:rPr/>
      </w:pPr>
      <w:r>
        <w:rPr/>
        <w:drawing>
          <wp:inline distT="0" distB="0" distL="0" distR="0">
            <wp:extent cx="3533140" cy="4455160"/>
            <wp:effectExtent l="0" t="0" r="0" b="0"/>
            <wp:docPr id="6"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title=""/>
                    <pic:cNvPicPr>
                      <a:picLocks noChangeAspect="1" noChangeArrowheads="1"/>
                    </pic:cNvPicPr>
                  </pic:nvPicPr>
                  <pic:blipFill>
                    <a:blip r:embed="rId25"/>
                    <a:srcRect l="-9" t="-7" r="-9" b="-7"/>
                    <a:stretch>
                      <a:fillRect/>
                    </a:stretch>
                  </pic:blipFill>
                  <pic:spPr bwMode="auto">
                    <a:xfrm>
                      <a:off x="0" y="0"/>
                      <a:ext cx="3533140" cy="4455160"/>
                    </a:xfrm>
                    <a:prstGeom prst="rect">
                      <a:avLst/>
                    </a:prstGeom>
                  </pic:spPr>
                </pic:pic>
              </a:graphicData>
            </a:graphic>
          </wp:inline>
        </w:drawing>
      </w:r>
    </w:p>
    <w:p>
      <w:pPr>
        <w:pStyle w:val="Normal"/>
        <w:rPr/>
      </w:pPr>
      <w:r>
        <w:rPr/>
        <w:t>Terracotta figurine of two half-body statuettes of female divinities from the region around Damascus. Now in Musée du Louvre (acc. 6608). From Cumont 1917: 264, Fig. 93.</w:t>
      </w:r>
    </w:p>
    <w:p>
      <w:pPr>
        <w:pStyle w:val="Normal"/>
        <w:rPr/>
      </w:pPr>
      <w:r>
        <w:rPr/>
        <w:t>Cumont wrote of this terracotta : "In 1913 I found an Armenian merchant amidst a lot of antique shops in Damascus who had a singular terracotta which I bought [and which I later placed in the Louvre]. It offers a unique representation  for those who have interest in Syrian Arab religion of two deities in twin litters on camel back." Cumont goes on to explain how the saddle holding the statuettes  is "concealed under the broad folds of cloth stretched around the camel in which are placed two feminine statues, [both f which are] exactly the same, cut at the waist" Cumont 1917: 263.</w:t>
      </w:r>
    </w:p>
    <w:p>
      <w:pPr>
        <w:pStyle w:val="Normal"/>
        <w:rPr/>
      </w:pPr>
      <w:r>
        <w:rPr/>
      </w:r>
    </w:p>
    <w:p>
      <w:pPr>
        <w:pStyle w:val="Normal"/>
        <w:rPr/>
      </w:pPr>
      <w:r>
        <w:rPr/>
      </w:r>
    </w:p>
    <w:p>
      <w:pPr>
        <w:pStyle w:val="Normal"/>
        <w:rPr/>
      </w:pPr>
      <w:r>
        <w:rPr/>
        <w:drawing>
          <wp:inline distT="0" distB="0" distL="0" distR="0">
            <wp:extent cx="3762375" cy="6191250"/>
            <wp:effectExtent l="0" t="0" r="0" b="0"/>
            <wp:docPr id="7"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title=""/>
                    <pic:cNvPicPr>
                      <a:picLocks noChangeAspect="1" noChangeArrowheads="1"/>
                    </pic:cNvPicPr>
                  </pic:nvPicPr>
                  <pic:blipFill>
                    <a:blip r:embed="rId26"/>
                    <a:srcRect l="-12" t="-7" r="-12" b="-7"/>
                    <a:stretch>
                      <a:fillRect/>
                    </a:stretch>
                  </pic:blipFill>
                  <pic:spPr bwMode="auto">
                    <a:xfrm>
                      <a:off x="0" y="0"/>
                      <a:ext cx="3762375" cy="6191250"/>
                    </a:xfrm>
                    <a:prstGeom prst="rect">
                      <a:avLst/>
                    </a:prstGeom>
                  </pic:spPr>
                </pic:pic>
              </a:graphicData>
            </a:graphic>
          </wp:inline>
        </w:drawing>
      </w:r>
    </w:p>
    <w:p>
      <w:pPr>
        <w:pStyle w:val="Normal"/>
        <w:rPr>
          <w:lang w:val="fr-FR"/>
        </w:rPr>
      </w:pPr>
      <w:r>
        <w:rPr>
          <w:lang w:val="fr-FR"/>
        </w:rPr>
        <w:t>Terracotta from Syria. After Cumont 1917: 273, Fig. 94. (Musée du Louvre)</w:t>
      </w:r>
    </w:p>
    <w:p>
      <w:pPr>
        <w:pStyle w:val="Normal"/>
        <w:rPr/>
      </w:pPr>
      <w:r>
        <w:rPr/>
        <w:t>This is a similar figurine with the left figure holing a flute and the right figure holding a tambourine.</w:t>
      </w:r>
    </w:p>
    <w:p>
      <w:pPr>
        <w:pStyle w:val="Normal"/>
        <w:rPr/>
      </w:pPr>
      <w:r>
        <w:rPr/>
      </w:r>
    </w:p>
    <w:p>
      <w:pPr>
        <w:pStyle w:val="Normal"/>
        <w:rPr/>
      </w:pPr>
      <w:r>
        <w:rPr/>
        <w:drawing>
          <wp:inline distT="0" distB="0" distL="0" distR="0">
            <wp:extent cx="5183505" cy="3876675"/>
            <wp:effectExtent l="0" t="0" r="0" b="0"/>
            <wp:docPr id="8"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title=""/>
                    <pic:cNvPicPr>
                      <a:picLocks noChangeAspect="1" noChangeArrowheads="1"/>
                    </pic:cNvPicPr>
                  </pic:nvPicPr>
                  <pic:blipFill>
                    <a:blip r:embed="rId27"/>
                    <a:srcRect l="-5" t="-7" r="-5" b="-7"/>
                    <a:stretch>
                      <a:fillRect/>
                    </a:stretch>
                  </pic:blipFill>
                  <pic:spPr bwMode="auto">
                    <a:xfrm>
                      <a:off x="0" y="0"/>
                      <a:ext cx="5183505" cy="3876675"/>
                    </a:xfrm>
                    <a:prstGeom prst="rect">
                      <a:avLst/>
                    </a:prstGeom>
                  </pic:spPr>
                </pic:pic>
              </a:graphicData>
            </a:graphic>
          </wp:inline>
        </w:drawing>
      </w:r>
    </w:p>
    <w:p>
      <w:pPr>
        <w:pStyle w:val="Normal"/>
        <w:rPr/>
      </w:pPr>
      <w:r>
        <w:rPr>
          <w:lang w:val="en"/>
        </w:rPr>
        <w:t>"Votive relief (?) Psyche on a camel Second century. BCE, Alexandria Troas (Turkey) Marble</w:t>
      </w:r>
      <w:r>
        <w:rPr/>
        <w:t>. (Musée du Louvre). After: cheminsantiques.blogspot.com.</w:t>
      </w:r>
      <w:r>
        <w:rPr>
          <w:lang w:val="en"/>
        </w:rPr>
        <w:t xml:space="preserve"> </w:t>
        <w:br/>
        <w:t xml:space="preserve">Cumont makes reference to this little bas-relief of Psyche perched on a dromedary (Cumont 1917:271). It could symbolize Psyche as a psychopomp leading the soul on its journey to the world of the Blessed. </w:t>
      </w:r>
      <w:r>
        <w:br w:type="page"/>
      </w:r>
    </w:p>
    <w:p>
      <w:pPr>
        <w:pStyle w:val="Normal"/>
        <w:rPr/>
      </w:pPr>
      <w:r>
        <w:rPr/>
        <w:drawing>
          <wp:inline distT="0" distB="0" distL="0" distR="0">
            <wp:extent cx="5191125" cy="5534025"/>
            <wp:effectExtent l="0" t="0" r="0" b="0"/>
            <wp:docPr id="9"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title=""/>
                    <pic:cNvPicPr>
                      <a:picLocks noChangeAspect="1" noChangeArrowheads="1"/>
                    </pic:cNvPicPr>
                  </pic:nvPicPr>
                  <pic:blipFill>
                    <a:blip r:embed="rId28"/>
                    <a:srcRect l="-9" t="-8" r="-9" b="-8"/>
                    <a:stretch>
                      <a:fillRect/>
                    </a:stretch>
                  </pic:blipFill>
                  <pic:spPr bwMode="auto">
                    <a:xfrm>
                      <a:off x="0" y="0"/>
                      <a:ext cx="5191125" cy="5534025"/>
                    </a:xfrm>
                    <a:prstGeom prst="rect">
                      <a:avLst/>
                    </a:prstGeom>
                  </pic:spPr>
                </pic:pic>
              </a:graphicData>
            </a:graphic>
          </wp:inline>
        </w:drawing>
      </w:r>
    </w:p>
    <w:p>
      <w:pPr>
        <w:pStyle w:val="Normal"/>
        <w:numPr>
          <w:ilvl w:val="0"/>
          <w:numId w:val="2"/>
        </w:numPr>
        <w:rPr/>
      </w:pPr>
      <w:r>
        <w:rPr>
          <w:rStyle w:val="Description"/>
        </w:rPr>
        <w:t xml:space="preserve">Bas-relief: </w:t>
      </w:r>
      <w:hyperlink r:id="rId29">
        <w:r>
          <w:rPr>
            <w:rStyle w:val="InternetLink"/>
          </w:rPr>
          <w:t>Nemesis</w:t>
        </w:r>
      </w:hyperlink>
      <w:r>
        <w:rPr>
          <w:rStyle w:val="Description"/>
        </w:rPr>
        <w:t xml:space="preserve"> (Manat), </w:t>
      </w:r>
      <w:hyperlink r:id="rId30">
        <w:r>
          <w:rPr>
            <w:rStyle w:val="InternetLink"/>
          </w:rPr>
          <w:t>Allāt</w:t>
        </w:r>
      </w:hyperlink>
      <w:r>
        <w:rPr>
          <w:rStyle w:val="Description"/>
        </w:rPr>
        <w:t xml:space="preserve"> and the dedicator</w:t>
      </w:r>
      <w:r>
        <w:rPr/>
        <w:t>, 2nd or 3rd century CE, Limestone, from Palmyra, since 1990 in Musée des beaux-arts de Lyon.</w:t>
      </w:r>
    </w:p>
    <w:p>
      <w:pPr>
        <w:pStyle w:val="Normal"/>
        <w:numPr>
          <w:ilvl w:val="0"/>
          <w:numId w:val="2"/>
        </w:numPr>
        <w:rPr>
          <w:vertAlign w:val="superscript"/>
        </w:rPr>
      </w:pPr>
      <w:r>
        <w:rPr/>
        <w:t xml:space="preserve">The pre-Islamic Arabs believed Manāt to be the goddess of fate. She was known by the cognate name </w:t>
      </w:r>
      <w:r>
        <w:rPr>
          <w:i/>
          <w:iCs/>
        </w:rPr>
        <w:t>Manawat</w:t>
      </w:r>
      <w:r>
        <w:rPr/>
        <w:t xml:space="preserve"> to the </w:t>
      </w:r>
      <w:hyperlink r:id="rId31">
        <w:r>
          <w:rPr>
            <w:rStyle w:val="InternetLink"/>
          </w:rPr>
          <w:t>Nabataeans</w:t>
        </w:r>
      </w:hyperlink>
      <w:r>
        <w:rPr/>
        <w:t xml:space="preserve"> of </w:t>
      </w:r>
      <w:hyperlink r:id="rId32">
        <w:r>
          <w:rPr>
            <w:rStyle w:val="InternetLink"/>
          </w:rPr>
          <w:t>Petra</w:t>
        </w:r>
      </w:hyperlink>
      <w:r>
        <w:rPr/>
        <w:t xml:space="preserve">, who equated her with the Graeco-Roman goddess </w:t>
      </w:r>
      <w:hyperlink r:id="rId33">
        <w:r>
          <w:rPr>
            <w:rStyle w:val="InternetLink"/>
          </w:rPr>
          <w:t>Nemesis</w:t>
        </w:r>
      </w:hyperlink>
      <w:r>
        <w:rPr/>
        <w:t xml:space="preserve"> and she was considered the wife of </w:t>
      </w:r>
      <w:hyperlink r:id="rId34">
        <w:r>
          <w:rPr>
            <w:rStyle w:val="InternetLink"/>
          </w:rPr>
          <w:t>Hubal</w:t>
        </w:r>
      </w:hyperlink>
      <w:r>
        <w:rPr/>
        <w:t>.</w:t>
      </w:r>
      <w:r>
        <w:fldChar w:fldCharType="begin"/>
      </w:r>
      <w:r>
        <w:rPr>
          <w:rStyle w:val="InternetLink"/>
          <w:vertAlign w:val="superscript"/>
        </w:rPr>
        <w:instrText> HYPERLINK "http://en.wikipedia.org/wiki/Manāt" \l "cite_note-2"</w:instrText>
      </w:r>
      <w:r>
        <w:rPr>
          <w:rStyle w:val="InternetLink"/>
          <w:vertAlign w:val="superscript"/>
        </w:rPr>
        <w:fldChar w:fldCharType="separate"/>
      </w:r>
      <w:r>
        <w:rPr>
          <w:rStyle w:val="InternetLink"/>
          <w:vertAlign w:val="superscript"/>
        </w:rPr>
        <w:t>[2]</w:t>
      </w:r>
      <w:r>
        <w:rPr>
          <w:rStyle w:val="InternetLink"/>
          <w:vertAlign w:val="superscript"/>
        </w:rPr>
        <w:fldChar w:fldCharType="end"/>
      </w:r>
      <w:r>
        <w:rPr/>
        <w:t xml:space="preserve"> The </w:t>
      </w:r>
      <w:hyperlink r:id="rId35">
        <w:r>
          <w:rPr>
            <w:rStyle w:val="InternetLink"/>
          </w:rPr>
          <w:t>Qur'an</w:t>
        </w:r>
      </w:hyperlink>
      <w:r>
        <w:rPr/>
        <w:t xml:space="preserve"> confirmed that the pre-Islamic Arabs believed that some female idols were daughters of God, like </w:t>
      </w:r>
      <w:hyperlink r:id="rId36">
        <w:r>
          <w:rPr>
            <w:rStyle w:val="InternetLink"/>
          </w:rPr>
          <w:t>Allāt</w:t>
        </w:r>
      </w:hyperlink>
      <w:r>
        <w:rPr/>
        <w:t xml:space="preserve">, </w:t>
      </w:r>
      <w:hyperlink r:id="rId37">
        <w:r>
          <w:rPr>
            <w:rStyle w:val="InternetLink"/>
          </w:rPr>
          <w:t>Al-‘Uzzá</w:t>
        </w:r>
      </w:hyperlink>
      <w:r>
        <w:rPr/>
        <w:t>, and Manāt.</w:t>
      </w:r>
      <w:r>
        <w:fldChar w:fldCharType="begin"/>
      </w:r>
      <w:r>
        <w:rPr>
          <w:rStyle w:val="InternetLink"/>
          <w:vertAlign w:val="superscript"/>
        </w:rPr>
        <w:instrText> HYPERLINK "http://en.wikipedia.org/wiki/Manāt" \l "cite_note-3"</w:instrText>
      </w:r>
      <w:r>
        <w:rPr>
          <w:rStyle w:val="InternetLink"/>
          <w:vertAlign w:val="superscript"/>
        </w:rPr>
        <w:fldChar w:fldCharType="separate"/>
      </w:r>
      <w:r>
        <w:rPr>
          <w:rStyle w:val="InternetLink"/>
          <w:vertAlign w:val="superscript"/>
        </w:rPr>
        <w:t>[3]</w:t>
      </w:r>
      <w:r>
        <w:rPr>
          <w:rStyle w:val="InternetLink"/>
          <w:vertAlign w:val="superscript"/>
        </w:rPr>
        <w:fldChar w:fldCharType="end"/>
      </w:r>
    </w:p>
    <w:p>
      <w:pPr>
        <w:pStyle w:val="Normal"/>
        <w:rPr>
          <w:vertAlign w:val="superscript"/>
        </w:rPr>
      </w:pPr>
      <w:r>
        <w:rPr>
          <w:vertAlign w:val="superscript"/>
        </w:rPr>
      </w:r>
    </w:p>
    <w:p>
      <w:pPr>
        <w:pStyle w:val="Normal"/>
        <w:rPr>
          <w:vertAlign w:val="superscript"/>
        </w:rPr>
      </w:pPr>
      <w:r>
        <w:rPr>
          <w:vertAlign w:val="superscript"/>
        </w:rPr>
      </w:r>
    </w:p>
    <w:p>
      <w:pPr>
        <w:pStyle w:val="Normal"/>
        <w:numPr>
          <w:ilvl w:val="0"/>
          <w:numId w:val="2"/>
        </w:numPr>
        <w:rPr/>
      </w:pPr>
      <w:r>
        <w:rPr>
          <w:rFonts w:cs="Symbol"/>
        </w:rPr>
        <w:t></w:t>
      </w:r>
      <w:r>
        <w:rPr>
          <w:rFonts w:eastAsia="Times New Roman"/>
        </w:rPr>
        <w:t xml:space="preserve">  </w:t>
      </w:r>
      <w:r>
        <w:rPr>
          <w:rStyle w:val="Mwcitebacklink"/>
        </w:rPr>
        <w:t xml:space="preserve">^ </w:t>
      </w:r>
      <w:r>
        <w:fldChar w:fldCharType="begin"/>
      </w:r>
      <w:r>
        <w:rPr>
          <w:rStyle w:val="InternetLink"/>
          <w:vertAlign w:val="superscript"/>
          <w:i/>
          <w:b/>
          <w:iCs/>
          <w:bCs/>
        </w:rPr>
        <w:instrText> HYPERLINK "http://en.wikipedia.org/wiki/Al-lāt" \l "cite_ref-Tabari_25_Sep_1990_46_1-0"</w:instrText>
      </w:r>
      <w:r>
        <w:rPr>
          <w:rStyle w:val="InternetLink"/>
          <w:vertAlign w:val="superscript"/>
          <w:i/>
          <w:b/>
          <w:iCs/>
          <w:bCs/>
        </w:rPr>
        <w:fldChar w:fldCharType="separate"/>
      </w:r>
      <w:r>
        <w:rPr>
          <w:rStyle w:val="InternetLink"/>
          <w:b/>
          <w:bCs/>
          <w:i/>
          <w:iCs/>
          <w:vertAlign w:val="superscript"/>
        </w:rPr>
        <w:t>a</w:t>
      </w:r>
      <w:r>
        <w:rPr>
          <w:rStyle w:val="InternetLink"/>
          <w:vertAlign w:val="superscript"/>
          <w:i/>
          <w:b/>
          <w:iCs/>
          <w:bCs/>
        </w:rPr>
        <w:fldChar w:fldCharType="end"/>
      </w:r>
      <w:r>
        <w:rPr>
          <w:rStyle w:val="Mwcitebacklink"/>
        </w:rPr>
        <w:t xml:space="preserve"> </w:t>
      </w:r>
      <w:r>
        <w:fldChar w:fldCharType="begin"/>
      </w:r>
      <w:r>
        <w:rPr>
          <w:rStyle w:val="InternetLink"/>
          <w:vertAlign w:val="superscript"/>
          <w:i/>
          <w:b/>
          <w:iCs/>
          <w:bCs/>
        </w:rPr>
        <w:instrText> HYPERLINK "http://en.wikipedia.org/wiki/Al-lāt" \l "cite_ref-Tabari_25_Sep_1990_46_1-1"</w:instrText>
      </w:r>
      <w:r>
        <w:rPr>
          <w:rStyle w:val="InternetLink"/>
          <w:vertAlign w:val="superscript"/>
          <w:i/>
          <w:b/>
          <w:iCs/>
          <w:bCs/>
        </w:rPr>
        <w:fldChar w:fldCharType="separate"/>
      </w:r>
      <w:r>
        <w:rPr>
          <w:rStyle w:val="InternetLink"/>
          <w:b/>
          <w:bCs/>
          <w:i/>
          <w:iCs/>
          <w:vertAlign w:val="superscript"/>
        </w:rPr>
        <w:t>b</w:t>
      </w:r>
      <w:r>
        <w:rPr>
          <w:rStyle w:val="InternetLink"/>
          <w:vertAlign w:val="superscript"/>
          <w:i/>
          <w:b/>
          <w:iCs/>
          <w:bCs/>
        </w:rPr>
        <w:fldChar w:fldCharType="end"/>
      </w:r>
      <w:r>
        <w:rPr/>
        <w:t xml:space="preserve"> </w:t>
      </w:r>
      <w:r>
        <w:rPr>
          <w:rStyle w:val="Citation"/>
        </w:rPr>
        <w:t xml:space="preserve">Tabari, Al (25 Sep 1990), </w:t>
      </w:r>
      <w:hyperlink r:id="rId38">
        <w:r>
          <w:rPr>
            <w:rStyle w:val="InternetLink"/>
            <w:i/>
            <w:iCs/>
          </w:rPr>
          <w:t>The last years of the Prophet (translated by Isma'il Qurban Husayn)</w:t>
        </w:r>
      </w:hyperlink>
      <w:r>
        <w:rPr>
          <w:rStyle w:val="Citation"/>
        </w:rPr>
        <w:t xml:space="preserve">, State University of New York Press, p. 46, </w:t>
      </w:r>
      <w:hyperlink r:id="rId39">
        <w:r>
          <w:rPr>
            <w:rStyle w:val="InternetLink"/>
          </w:rPr>
          <w:t>ISBN</w:t>
        </w:r>
      </w:hyperlink>
      <w:r>
        <w:rPr>
          <w:rStyle w:val="Citation"/>
        </w:rPr>
        <w:t> </w:t>
      </w:r>
      <w:hyperlink r:id="rId40">
        <w:r>
          <w:rPr>
            <w:rStyle w:val="InternetLink"/>
          </w:rPr>
          <w:t>978-0887066917</w:t>
        </w:r>
      </w:hyperlink>
      <w:r>
        <w:rPr/>
        <w:t xml:space="preserve"> </w:t>
      </w:r>
    </w:p>
    <w:p>
      <w:pPr>
        <w:pStyle w:val="Normal"/>
        <w:numPr>
          <w:ilvl w:val="0"/>
          <w:numId w:val="2"/>
        </w:numPr>
        <w:rPr/>
      </w:pPr>
      <w:r>
        <w:rPr>
          <w:rFonts w:cs="Symbol"/>
        </w:rPr>
        <w:t></w:t>
      </w:r>
      <w:r>
        <w:rPr>
          <w:rFonts w:eastAsia="Times New Roman"/>
        </w:rPr>
        <w:t xml:space="preserve">  </w:t>
      </w:r>
      <w:r>
        <w:rPr>
          <w:rStyle w:val="Mwcitebacklink"/>
        </w:rPr>
        <w:t xml:space="preserve">^ </w:t>
      </w:r>
      <w:r>
        <w:fldChar w:fldCharType="begin"/>
      </w:r>
      <w:r>
        <w:rPr>
          <w:rStyle w:val="InternetLink"/>
          <w:vertAlign w:val="superscript"/>
          <w:i/>
          <w:b/>
          <w:iCs/>
          <w:bCs/>
        </w:rPr>
        <w:instrText> HYPERLINK "http://en.wikipedia.org/wiki/Al-lāt" \l "cite_ref-Hawarey_2-0"</w:instrText>
      </w:r>
      <w:r>
        <w:rPr>
          <w:rStyle w:val="InternetLink"/>
          <w:vertAlign w:val="superscript"/>
          <w:i/>
          <w:b/>
          <w:iCs/>
          <w:bCs/>
        </w:rPr>
        <w:fldChar w:fldCharType="separate"/>
      </w:r>
      <w:r>
        <w:rPr>
          <w:rStyle w:val="InternetLink"/>
          <w:b/>
          <w:bCs/>
          <w:i/>
          <w:iCs/>
          <w:vertAlign w:val="superscript"/>
        </w:rPr>
        <w:t>a</w:t>
      </w:r>
      <w:r>
        <w:rPr>
          <w:rStyle w:val="InternetLink"/>
          <w:vertAlign w:val="superscript"/>
          <w:i/>
          <w:b/>
          <w:iCs/>
          <w:bCs/>
        </w:rPr>
        <w:fldChar w:fldCharType="end"/>
      </w:r>
      <w:r>
        <w:rPr>
          <w:rStyle w:val="Mwcitebacklink"/>
        </w:rPr>
        <w:t xml:space="preserve"> </w:t>
      </w:r>
      <w:r>
        <w:fldChar w:fldCharType="begin"/>
      </w:r>
      <w:r>
        <w:rPr>
          <w:rStyle w:val="InternetLink"/>
          <w:vertAlign w:val="superscript"/>
          <w:i/>
          <w:b/>
          <w:iCs/>
          <w:bCs/>
        </w:rPr>
        <w:instrText> HYPERLINK "http://en.wikipedia.org/wiki/Al-lāt" \l "cite_ref-Hawarey_2-1"</w:instrText>
      </w:r>
      <w:r>
        <w:rPr>
          <w:rStyle w:val="InternetLink"/>
          <w:vertAlign w:val="superscript"/>
          <w:i/>
          <w:b/>
          <w:iCs/>
          <w:bCs/>
        </w:rPr>
        <w:fldChar w:fldCharType="separate"/>
      </w:r>
      <w:r>
        <w:rPr>
          <w:rStyle w:val="InternetLink"/>
          <w:b/>
          <w:bCs/>
          <w:i/>
          <w:iCs/>
          <w:vertAlign w:val="superscript"/>
        </w:rPr>
        <w:t>b</w:t>
      </w:r>
      <w:r>
        <w:rPr>
          <w:rStyle w:val="InternetLink"/>
          <w:vertAlign w:val="superscript"/>
          <w:i/>
          <w:b/>
          <w:iCs/>
          <w:bCs/>
        </w:rPr>
        <w:fldChar w:fldCharType="end"/>
      </w:r>
      <w:r>
        <w:rPr/>
        <w:t xml:space="preserve"> </w:t>
      </w:r>
      <w:r>
        <w:rPr>
          <w:rStyle w:val="Citationbook"/>
        </w:rPr>
        <w:t xml:space="preserve">Hawarey, </w:t>
      </w:r>
      <w:hyperlink r:id="rId41">
        <w:r>
          <w:rPr>
            <w:rStyle w:val="InternetLink"/>
          </w:rPr>
          <w:t>Dr. Mosab</w:t>
        </w:r>
      </w:hyperlink>
      <w:r>
        <w:rPr>
          <w:rStyle w:val="Citationbook"/>
        </w:rPr>
        <w:t xml:space="preserve"> (2010). </w:t>
      </w:r>
      <w:hyperlink r:id="rId42">
        <w:r>
          <w:rPr>
            <w:rStyle w:val="InternetLink"/>
            <w:i/>
            <w:iCs/>
          </w:rPr>
          <w:t>The Journey of Prophecy; Days of Peace and War (Arabic)</w:t>
        </w:r>
      </w:hyperlink>
      <w:r>
        <w:rPr>
          <w:rStyle w:val="Citationbook"/>
        </w:rPr>
        <w:t>. Islamic Book Trust.</w:t>
      </w:r>
      <w:r>
        <w:rPr>
          <w:rStyle w:val="Referencetext"/>
        </w:rPr>
        <w:t xml:space="preserve">Note: Book contains a list of battles of Muhammad in Arabic, English translation available </w:t>
      </w:r>
      <w:hyperlink r:id="rId43">
        <w:r>
          <w:rPr>
            <w:rStyle w:val="InternetLink"/>
          </w:rPr>
          <w:t>here</w:t>
        </w:r>
      </w:hyperlink>
      <w:r>
        <w:rPr>
          <w:rStyle w:val="Referencetext"/>
        </w:rPr>
        <w:t xml:space="preserve">, and archive of page </w:t>
      </w:r>
      <w:hyperlink r:id="rId44">
        <w:r>
          <w:rPr>
            <w:rStyle w:val="InternetLink"/>
          </w:rPr>
          <w:t>here</w:t>
        </w:r>
      </w:hyperlink>
      <w:r>
        <w:rPr/>
        <w:t xml:space="preserve"> </w:t>
      </w:r>
    </w:p>
    <w:p>
      <w:pPr>
        <w:pStyle w:val="Normal"/>
        <w:numPr>
          <w:ilvl w:val="0"/>
          <w:numId w:val="2"/>
        </w:numPr>
        <w:rPr/>
      </w:pPr>
      <w:r>
        <w:rPr>
          <w:rFonts w:cs="Symbol"/>
        </w:rPr>
        <w:t></w:t>
      </w:r>
      <w:r>
        <w:rPr>
          <w:rFonts w:eastAsia="Times New Roman"/>
        </w:rPr>
        <w:t xml:space="preserve">  </w:t>
      </w:r>
      <w:r>
        <w:rPr>
          <w:rStyle w:val="Mwcitebacklink"/>
        </w:rPr>
        <w:t xml:space="preserve">^ </w:t>
      </w:r>
      <w:r>
        <w:fldChar w:fldCharType="begin"/>
      </w:r>
      <w:r>
        <w:rPr>
          <w:rStyle w:val="InternetLink"/>
          <w:vertAlign w:val="superscript"/>
          <w:i/>
          <w:b/>
          <w:iCs/>
          <w:bCs/>
        </w:rPr>
        <w:instrText> HYPERLINK "http://en.wikipedia.org/wiki/Al-lāt" \l "cite_ref-Muir_August_1878_207_3-0"</w:instrText>
      </w:r>
      <w:r>
        <w:rPr>
          <w:rStyle w:val="InternetLink"/>
          <w:vertAlign w:val="superscript"/>
          <w:i/>
          <w:b/>
          <w:iCs/>
          <w:bCs/>
        </w:rPr>
        <w:fldChar w:fldCharType="separate"/>
      </w:r>
      <w:r>
        <w:rPr>
          <w:rStyle w:val="InternetLink"/>
          <w:b/>
          <w:bCs/>
          <w:i/>
          <w:iCs/>
          <w:vertAlign w:val="superscript"/>
        </w:rPr>
        <w:t>a</w:t>
      </w:r>
      <w:r>
        <w:rPr>
          <w:rStyle w:val="InternetLink"/>
          <w:vertAlign w:val="superscript"/>
          <w:i/>
          <w:b/>
          <w:iCs/>
          <w:bCs/>
        </w:rPr>
        <w:fldChar w:fldCharType="end"/>
      </w:r>
      <w:r>
        <w:rPr>
          <w:rStyle w:val="Mwcitebacklink"/>
        </w:rPr>
        <w:t xml:space="preserve"> </w:t>
      </w:r>
      <w:r>
        <w:fldChar w:fldCharType="begin"/>
      </w:r>
      <w:r>
        <w:rPr>
          <w:rStyle w:val="InternetLink"/>
          <w:vertAlign w:val="superscript"/>
          <w:i/>
          <w:b/>
          <w:iCs/>
          <w:bCs/>
        </w:rPr>
        <w:instrText> HYPERLINK "http://en.wikipedia.org/wiki/Al-lāt" \l "cite_ref-Muir_August_1878_207_3-1"</w:instrText>
      </w:r>
      <w:r>
        <w:rPr>
          <w:rStyle w:val="InternetLink"/>
          <w:vertAlign w:val="superscript"/>
          <w:i/>
          <w:b/>
          <w:iCs/>
          <w:bCs/>
        </w:rPr>
        <w:fldChar w:fldCharType="separate"/>
      </w:r>
      <w:r>
        <w:rPr>
          <w:rStyle w:val="InternetLink"/>
          <w:b/>
          <w:bCs/>
          <w:i/>
          <w:iCs/>
          <w:vertAlign w:val="superscript"/>
        </w:rPr>
        <w:t>b</w:t>
      </w:r>
      <w:r>
        <w:rPr>
          <w:rStyle w:val="InternetLink"/>
          <w:vertAlign w:val="superscript"/>
          <w:i/>
          <w:b/>
          <w:iCs/>
          <w:bCs/>
        </w:rPr>
        <w:fldChar w:fldCharType="end"/>
      </w:r>
      <w:r>
        <w:rPr/>
        <w:t xml:space="preserve"> </w:t>
      </w:r>
      <w:r>
        <w:rPr>
          <w:rStyle w:val="Citation"/>
        </w:rPr>
        <w:t xml:space="preserve">Muir, William (August 1878), </w:t>
      </w:r>
      <w:hyperlink r:id="rId45">
        <w:r>
          <w:rPr>
            <w:rStyle w:val="InternetLink"/>
            <w:i/>
            <w:iCs/>
          </w:rPr>
          <w:t>The life of Mahomet (Full free digitized version)</w:t>
        </w:r>
      </w:hyperlink>
      <w:r>
        <w:rPr>
          <w:rStyle w:val="Citation"/>
        </w:rPr>
        <w:t>, Kessinger Publishing Co, p. 207</w:t>
      </w:r>
      <w:r>
        <w:rPr/>
        <w:t xml:space="preserve"> </w:t>
      </w:r>
    </w:p>
    <w:p>
      <w:pPr>
        <w:pStyle w:val="Normal"/>
        <w:numPr>
          <w:ilvl w:val="0"/>
          <w:numId w:val="2"/>
        </w:numPr>
        <w:rPr/>
      </w:pPr>
      <w:r>
        <w:rPr>
          <w:rFonts w:cs="Symbol"/>
        </w:rPr>
        <w:t></w:t>
      </w:r>
      <w:r>
        <w:rPr>
          <w:rFonts w:eastAsia="Times New Roman"/>
        </w:rPr>
        <w:t xml:space="preserve">  </w:t>
      </w:r>
      <w:r>
        <w:rPr>
          <w:rStyle w:val="Mwcitebacklink"/>
        </w:rPr>
        <w:t xml:space="preserve">^ </w:t>
      </w:r>
      <w:r>
        <w:fldChar w:fldCharType="begin"/>
      </w:r>
      <w:r>
        <w:rPr>
          <w:rStyle w:val="InternetLink"/>
          <w:vertAlign w:val="superscript"/>
          <w:i/>
          <w:b/>
          <w:iCs/>
          <w:bCs/>
        </w:rPr>
        <w:instrText> HYPERLINK "http://en.wikipedia.org/wiki/Al-lāt" \l "cite_ref-Muir_August_1878_205_4-0"</w:instrText>
      </w:r>
      <w:r>
        <w:rPr>
          <w:rStyle w:val="InternetLink"/>
          <w:vertAlign w:val="superscript"/>
          <w:i/>
          <w:b/>
          <w:iCs/>
          <w:bCs/>
        </w:rPr>
        <w:fldChar w:fldCharType="separate"/>
      </w:r>
      <w:r>
        <w:rPr>
          <w:rStyle w:val="InternetLink"/>
          <w:b/>
          <w:bCs/>
          <w:i/>
          <w:iCs/>
          <w:vertAlign w:val="superscript"/>
        </w:rPr>
        <w:t>a</w:t>
      </w:r>
      <w:r>
        <w:rPr>
          <w:rStyle w:val="InternetLink"/>
          <w:vertAlign w:val="superscript"/>
          <w:i/>
          <w:b/>
          <w:iCs/>
          <w:bCs/>
        </w:rPr>
        <w:fldChar w:fldCharType="end"/>
      </w:r>
      <w:r>
        <w:rPr>
          <w:rStyle w:val="Mwcitebacklink"/>
        </w:rPr>
        <w:t xml:space="preserve"> </w:t>
      </w:r>
      <w:r>
        <w:fldChar w:fldCharType="begin"/>
      </w:r>
      <w:r>
        <w:rPr>
          <w:rStyle w:val="InternetLink"/>
          <w:vertAlign w:val="superscript"/>
          <w:i/>
          <w:b/>
          <w:iCs/>
          <w:bCs/>
        </w:rPr>
        <w:instrText> HYPERLINK "http://en.wikipedia.org/wiki/Al-lāt" \l "cite_ref-Muir_August_1878_205_4-1"</w:instrText>
      </w:r>
      <w:r>
        <w:rPr>
          <w:rStyle w:val="InternetLink"/>
          <w:vertAlign w:val="superscript"/>
          <w:i/>
          <w:b/>
          <w:iCs/>
          <w:bCs/>
        </w:rPr>
        <w:fldChar w:fldCharType="separate"/>
      </w:r>
      <w:r>
        <w:rPr>
          <w:rStyle w:val="InternetLink"/>
          <w:b/>
          <w:bCs/>
          <w:i/>
          <w:iCs/>
          <w:vertAlign w:val="superscript"/>
        </w:rPr>
        <w:t>b</w:t>
      </w:r>
      <w:r>
        <w:rPr>
          <w:rStyle w:val="InternetLink"/>
          <w:vertAlign w:val="superscript"/>
          <w:i/>
          <w:b/>
          <w:iCs/>
          <w:bCs/>
        </w:rPr>
        <w:fldChar w:fldCharType="end"/>
      </w:r>
      <w:r>
        <w:rPr/>
        <w:t xml:space="preserve"> </w:t>
      </w:r>
      <w:r>
        <w:rPr>
          <w:rStyle w:val="Citation"/>
        </w:rPr>
        <w:t xml:space="preserve">Muir, William (August 1878), </w:t>
      </w:r>
      <w:hyperlink r:id="rId46">
        <w:r>
          <w:rPr>
            <w:rStyle w:val="InternetLink"/>
            <w:i/>
            <w:iCs/>
          </w:rPr>
          <w:t>The life of Mahomet (Full free digitized version)</w:t>
        </w:r>
      </w:hyperlink>
      <w:r>
        <w:rPr>
          <w:rStyle w:val="Citation"/>
        </w:rPr>
        <w:t>, Kessinger Publishing Co, p. 205</w:t>
      </w:r>
    </w:p>
    <w:p>
      <w:pPr>
        <w:pStyle w:val="Normal"/>
        <w:rPr>
          <w:rStyle w:val="Description"/>
        </w:rPr>
      </w:pPr>
      <w:r>
        <w:rPr/>
      </w:r>
    </w:p>
    <w:p>
      <w:pPr>
        <w:pStyle w:val="Normal"/>
        <w:rPr/>
      </w:pPr>
      <w:r>
        <w:rPr/>
        <w:drawing>
          <wp:inline distT="0" distB="0" distL="0" distR="0">
            <wp:extent cx="7040245" cy="7741920"/>
            <wp:effectExtent l="0" t="0" r="0" b="0"/>
            <wp:docPr id="10"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title=""/>
                    <pic:cNvPicPr>
                      <a:picLocks noChangeAspect="1" noChangeArrowheads="1"/>
                    </pic:cNvPicPr>
                  </pic:nvPicPr>
                  <pic:blipFill>
                    <a:blip r:embed="rId47"/>
                    <a:srcRect l="-3" t="-3" r="-3" b="-3"/>
                    <a:stretch>
                      <a:fillRect/>
                    </a:stretch>
                  </pic:blipFill>
                  <pic:spPr bwMode="auto">
                    <a:xfrm>
                      <a:off x="0" y="0"/>
                      <a:ext cx="7040245" cy="7741920"/>
                    </a:xfrm>
                    <a:prstGeom prst="rect">
                      <a:avLst/>
                    </a:prstGeom>
                  </pic:spPr>
                </pic:pic>
              </a:graphicData>
            </a:graphic>
          </wp:inline>
        </w:drawing>
      </w:r>
      <w:r>
        <w:rPr>
          <w:rFonts w:eastAsia="Times New Roman"/>
        </w:rPr>
        <w:t xml:space="preserve"> </w:t>
      </w:r>
      <w:r>
        <w:rPr/>
        <w:drawing>
          <wp:inline distT="0" distB="0" distL="0" distR="0">
            <wp:extent cx="4183380" cy="4572000"/>
            <wp:effectExtent l="0" t="0" r="0" b="0"/>
            <wp:docPr id="11"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title=""/>
                    <pic:cNvPicPr>
                      <a:picLocks noChangeAspect="1" noChangeArrowheads="1"/>
                    </pic:cNvPicPr>
                  </pic:nvPicPr>
                  <pic:blipFill>
                    <a:blip r:embed="rId48"/>
                    <a:srcRect l="-3" t="-3" r="-3" b="-3"/>
                    <a:stretch>
                      <a:fillRect/>
                    </a:stretch>
                  </pic:blipFill>
                  <pic:spPr bwMode="auto">
                    <a:xfrm>
                      <a:off x="0" y="0"/>
                      <a:ext cx="4183380" cy="4572000"/>
                    </a:xfrm>
                    <a:prstGeom prst="rect">
                      <a:avLst/>
                    </a:prstGeom>
                  </pic:spPr>
                </pic:pic>
              </a:graphicData>
            </a:graphic>
          </wp:inline>
        </w:drawing>
      </w:r>
      <w:r>
        <w:br w:type="page"/>
      </w:r>
    </w:p>
    <w:p>
      <w:pPr>
        <w:pStyle w:val="Normal"/>
        <w:rPr/>
      </w:pPr>
      <w:r>
        <w:rPr/>
      </w:r>
    </w:p>
    <w:tbl>
      <w:tblPr>
        <w:tblW w:w="2840" w:type="dxa"/>
        <w:jc w:val="start"/>
        <w:tblInd w:w="0" w:type="dxa"/>
        <w:tblBorders/>
        <w:tblCellMar>
          <w:top w:w="0" w:type="dxa"/>
          <w:start w:w="0" w:type="dxa"/>
          <w:bottom w:w="0" w:type="dxa"/>
          <w:end w:w="0" w:type="dxa"/>
        </w:tblCellMar>
      </w:tblPr>
      <w:tblGrid>
        <w:gridCol w:w="2840"/>
      </w:tblGrid>
      <w:tr>
        <w:trPr>
          <w:tblHeader w:val="true"/>
        </w:trPr>
        <w:tc>
          <w:tcPr>
            <w:tcW w:w="2840" w:type="dxa"/>
            <w:tcBorders/>
            <w:shd w:fill="CECFCE" w:val="clear"/>
            <w:vAlign w:val="center"/>
          </w:tcPr>
          <w:p>
            <w:pPr>
              <w:pStyle w:val="Heading2"/>
              <w:spacing w:before="0" w:after="280"/>
              <w:rPr/>
            </w:pPr>
            <w:r>
              <w:rPr/>
              <w:t>Shipping details</w:t>
            </w:r>
          </w:p>
          <w:p>
            <w:pPr>
              <w:pStyle w:val="Normal"/>
              <w:rPr/>
            </w:pPr>
            <w:r>
              <w:rPr/>
              <w:drawing>
                <wp:inline distT="0" distB="0" distL="0" distR="0">
                  <wp:extent cx="15875" cy="15875"/>
                  <wp:effectExtent l="0" t="0" r="0" b="0"/>
                  <wp:docPr id="12"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title=""/>
                          <pic:cNvPicPr>
                            <a:picLocks noChangeAspect="1" noChangeArrowheads="1"/>
                          </pic:cNvPicPr>
                        </pic:nvPicPr>
                        <pic:blipFill>
                          <a:blip r:embed="rId49"/>
                          <a:srcRect l="-5000" t="-5000" r="-5000" b="-5000"/>
                          <a:stretch>
                            <a:fillRect/>
                          </a:stretch>
                        </pic:blipFill>
                        <pic:spPr bwMode="auto">
                          <a:xfrm>
                            <a:off x="0" y="0"/>
                            <a:ext cx="15875" cy="15875"/>
                          </a:xfrm>
                          <a:prstGeom prst="rect">
                            <a:avLst/>
                          </a:prstGeom>
                        </pic:spPr>
                      </pic:pic>
                    </a:graphicData>
                  </a:graphic>
                </wp:inline>
              </w:drawing>
            </w:r>
          </w:p>
        </w:tc>
      </w:tr>
      <w:tr>
        <w:trPr/>
        <w:tc>
          <w:tcPr>
            <w:tcW w:w="2840" w:type="dxa"/>
            <w:tcBorders/>
            <w:shd w:fill="auto" w:val="clear"/>
            <w:vAlign w:val="center"/>
          </w:tcPr>
          <w:p>
            <w:pPr>
              <w:pStyle w:val="Normal"/>
              <w:rPr>
                <w:b/>
                <w:b/>
                <w:bCs/>
              </w:rPr>
            </w:pPr>
            <w:r>
              <w:rPr>
                <w:b/>
                <w:bCs/>
              </w:rPr>
              <w:t>Ralph J Coffman Jr</w:t>
            </w:r>
          </w:p>
          <w:p>
            <w:pPr>
              <w:pStyle w:val="Normal"/>
              <w:rPr/>
            </w:pPr>
            <w:r>
              <w:rPr/>
              <w:t>149 Atlantic Ave</w:t>
            </w:r>
          </w:p>
          <w:p>
            <w:pPr>
              <w:pStyle w:val="Normal"/>
              <w:rPr/>
            </w:pPr>
            <w:r>
              <w:rPr/>
              <w:t xml:space="preserve">Swampscott MA 01907-2427 </w:t>
            </w:r>
          </w:p>
          <w:p>
            <w:pPr>
              <w:pStyle w:val="Normal"/>
              <w:rPr/>
            </w:pPr>
            <w:r>
              <w:rPr/>
              <w:t>United States</w:t>
            </w:r>
          </w:p>
        </w:tc>
      </w:tr>
    </w:tbl>
    <w:p>
      <w:pPr>
        <w:pStyle w:val="Heading2"/>
        <w:shd w:fill="CECFCE" w:val="clear"/>
        <w:rPr/>
      </w:pPr>
      <w:r>
        <w:rPr/>
        <w:t>Order details</w:t>
      </w:r>
    </w:p>
    <w:tbl>
      <w:tblPr>
        <w:tblW w:w="5000" w:type="pct"/>
        <w:jc w:val="start"/>
        <w:tblInd w:w="0" w:type="dxa"/>
        <w:tblBorders/>
        <w:tblCellMar>
          <w:top w:w="0" w:type="dxa"/>
          <w:start w:w="0" w:type="dxa"/>
          <w:bottom w:w="0" w:type="dxa"/>
          <w:end w:w="0" w:type="dxa"/>
        </w:tblCellMar>
      </w:tblPr>
      <w:tblGrid>
        <w:gridCol w:w="3659"/>
        <w:gridCol w:w="2218"/>
        <w:gridCol w:w="3326"/>
        <w:gridCol w:w="1885"/>
      </w:tblGrid>
      <w:tr>
        <w:trPr/>
        <w:tc>
          <w:tcPr>
            <w:tcW w:w="3659" w:type="dxa"/>
            <w:tcBorders/>
            <w:shd w:fill="auto" w:val="clear"/>
            <w:vAlign w:val="center"/>
          </w:tcPr>
          <w:p>
            <w:pPr>
              <w:pStyle w:val="Normal"/>
              <w:jc w:val="center"/>
              <w:rPr>
                <w:b/>
                <w:b/>
                <w:bCs/>
              </w:rPr>
            </w:pPr>
            <w:r>
              <w:rPr>
                <w:b/>
                <w:bCs/>
              </w:rPr>
              <w:t xml:space="preserve">Item title </w:t>
            </w:r>
          </w:p>
        </w:tc>
        <w:tc>
          <w:tcPr>
            <w:tcW w:w="2218" w:type="dxa"/>
            <w:tcBorders/>
            <w:shd w:fill="auto" w:val="clear"/>
            <w:tcMar>
              <w:top w:w="105" w:type="dxa"/>
              <w:start w:w="690" w:type="dxa"/>
              <w:bottom w:w="105" w:type="dxa"/>
            </w:tcMar>
            <w:vAlign w:val="center"/>
          </w:tcPr>
          <w:p>
            <w:pPr>
              <w:pStyle w:val="Normal"/>
              <w:rPr>
                <w:rFonts w:ascii="Verdana" w:hAnsi="Verdana" w:cs="Verdana"/>
                <w:b/>
                <w:b/>
                <w:bCs/>
                <w:color w:val="333333"/>
                <w:sz w:val="20"/>
                <w:szCs w:val="20"/>
              </w:rPr>
            </w:pPr>
            <w:r>
              <w:rPr>
                <w:rFonts w:cs="Verdana" w:ascii="Verdana" w:hAnsi="Verdana"/>
                <w:b/>
                <w:bCs/>
                <w:color w:val="333333"/>
                <w:sz w:val="20"/>
                <w:szCs w:val="20"/>
              </w:rPr>
              <w:t>Available actions</w:t>
            </w:r>
          </w:p>
        </w:tc>
        <w:tc>
          <w:tcPr>
            <w:tcW w:w="3326" w:type="dxa"/>
            <w:tcBorders/>
            <w:shd w:fill="auto" w:val="clear"/>
            <w:tcMar>
              <w:top w:w="105" w:type="dxa"/>
              <w:start w:w="450" w:type="dxa"/>
              <w:bottom w:w="105" w:type="dxa"/>
            </w:tcMar>
            <w:vAlign w:val="center"/>
          </w:tcPr>
          <w:p>
            <w:pPr>
              <w:pStyle w:val="Normal"/>
              <w:rPr>
                <w:rFonts w:ascii="Verdana" w:hAnsi="Verdana" w:cs="Verdana"/>
                <w:b/>
                <w:b/>
                <w:bCs/>
                <w:color w:val="333333"/>
                <w:sz w:val="20"/>
                <w:szCs w:val="20"/>
              </w:rPr>
            </w:pPr>
            <w:r>
              <w:rPr>
                <w:rFonts w:cs="Verdana" w:ascii="Verdana" w:hAnsi="Verdana"/>
                <w:b/>
                <w:bCs/>
                <w:color w:val="333333"/>
                <w:sz w:val="20"/>
                <w:szCs w:val="20"/>
              </w:rPr>
              <w:t>Shipping &amp; handling (estimated delivery*)</w:t>
            </w:r>
          </w:p>
        </w:tc>
        <w:tc>
          <w:tcPr>
            <w:tcW w:w="1885" w:type="dxa"/>
            <w:tcBorders/>
            <w:shd w:fill="auto" w:val="clear"/>
            <w:vAlign w:val="center"/>
          </w:tcPr>
          <w:p>
            <w:pPr>
              <w:pStyle w:val="Normal"/>
              <w:jc w:val="end"/>
              <w:rPr>
                <w:b/>
                <w:b/>
                <w:bCs/>
              </w:rPr>
            </w:pPr>
            <w:r>
              <w:rPr>
                <w:b/>
                <w:bCs/>
              </w:rPr>
              <w:t>Price</w:t>
            </w:r>
          </w:p>
        </w:tc>
      </w:tr>
    </w:tbl>
    <w:p>
      <w:pPr>
        <w:pStyle w:val="Normal"/>
        <w:rPr>
          <w:rStyle w:val="Orderdetailsalignprinterversion"/>
        </w:rPr>
      </w:pPr>
      <w:r>
        <w:rPr/>
        <w:drawing>
          <wp:inline distT="0" distB="0" distL="0" distR="0">
            <wp:extent cx="152400" cy="152400"/>
            <wp:effectExtent l="0" t="0" r="0" b="0"/>
            <wp:docPr id="13"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title=""/>
                    <pic:cNvPicPr>
                      <a:picLocks noChangeAspect="1" noChangeArrowheads="1"/>
                    </pic:cNvPicPr>
                  </pic:nvPicPr>
                  <pic:blipFill>
                    <a:blip r:embed="rId50"/>
                    <a:srcRect l="-317" t="-317" r="-317" b="-317"/>
                    <a:stretch>
                      <a:fillRect/>
                    </a:stretch>
                  </pic:blipFill>
                  <pic:spPr bwMode="auto">
                    <a:xfrm>
                      <a:off x="0" y="0"/>
                      <a:ext cx="152400" cy="152400"/>
                    </a:xfrm>
                    <a:prstGeom prst="rect">
                      <a:avLst/>
                    </a:prstGeom>
                  </pic:spPr>
                </pic:pic>
              </a:graphicData>
            </a:graphic>
          </wp:inline>
        </w:drawing>
      </w:r>
      <w:hyperlink r:id="rId51">
        <w:r>
          <w:rPr>
            <w:rStyle w:val="InternetLink"/>
          </w:rPr>
          <w:t>Printer version</w:t>
        </w:r>
      </w:hyperlink>
    </w:p>
    <w:tbl>
      <w:tblPr>
        <w:tblW w:w="7505" w:type="dxa"/>
        <w:jc w:val="start"/>
        <w:tblInd w:w="-45" w:type="dxa"/>
        <w:tblBorders/>
        <w:tblCellMar>
          <w:top w:w="15" w:type="dxa"/>
          <w:start w:w="15" w:type="dxa"/>
          <w:bottom w:w="30" w:type="dxa"/>
          <w:end w:w="15" w:type="dxa"/>
        </w:tblCellMar>
      </w:tblPr>
      <w:tblGrid>
        <w:gridCol w:w="702"/>
        <w:gridCol w:w="5401"/>
        <w:gridCol w:w="1402"/>
      </w:tblGrid>
      <w:tr>
        <w:trPr/>
        <w:tc>
          <w:tcPr>
            <w:tcW w:w="702" w:type="dxa"/>
            <w:tcBorders/>
            <w:shd w:fill="auto" w:val="clear"/>
            <w:vAlign w:val="center"/>
          </w:tcPr>
          <w:p>
            <w:pPr>
              <w:pStyle w:val="Normal"/>
              <w:rPr/>
            </w:pPr>
            <w:r>
              <w:rPr/>
              <w:t>Seller:</w:t>
            </w:r>
          </w:p>
        </w:tc>
        <w:tc>
          <w:tcPr>
            <w:tcW w:w="5401" w:type="dxa"/>
            <w:tcBorders/>
            <w:shd w:fill="auto" w:val="clear"/>
            <w:tcMar>
              <w:bottom w:w="15" w:type="dxa"/>
            </w:tcMar>
            <w:vAlign w:val="center"/>
          </w:tcPr>
          <w:p>
            <w:pPr>
              <w:pStyle w:val="Normal"/>
              <w:rPr/>
            </w:pPr>
            <w:hyperlink r:id="rId52">
              <w:r>
                <w:rPr>
                  <w:rStyle w:val="InternetLink"/>
                  <w:b/>
                  <w:bCs/>
                </w:rPr>
                <w:t xml:space="preserve">Member id </w:t>
              </w:r>
              <w:r>
                <w:rPr>
                  <w:rStyle w:val="Mbgnw"/>
                  <w:color w:val="0000FF"/>
                  <w:u w:val="single"/>
                </w:rPr>
                <w:t>antiquewd</w:t>
              </w:r>
            </w:hyperlink>
            <w:r>
              <w:rPr/>
              <w:t xml:space="preserve"> </w:t>
            </w:r>
            <w:r>
              <w:rPr>
                <w:rStyle w:val="Mbgl"/>
              </w:rPr>
              <w:t xml:space="preserve">( </w:t>
            </w:r>
            <w:hyperlink r:id="rId53">
              <w:r>
                <w:rPr>
                  <w:rStyle w:val="InternetLink"/>
                  <w:b/>
                  <w:bCs/>
                </w:rPr>
                <w:t>Feedback Score Of</w:t>
              </w:r>
              <w:r>
                <w:rPr>
                  <w:rStyle w:val="InternetLink"/>
                </w:rPr>
                <w:t xml:space="preserve"> 1459</w:t>
              </w:r>
              <w:r>
                <w:rPr/>
                <w:drawing>
                  <wp:inline distT="0" distB="0" distL="0" distR="0">
                    <wp:extent cx="238125" cy="238125"/>
                    <wp:effectExtent l="0" t="0" r="0" b="0"/>
                    <wp:docPr id="14"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title=""/>
                            <pic:cNvPicPr>
                              <a:picLocks noChangeAspect="1" noChangeArrowheads="1"/>
                            </pic:cNvPicPr>
                          </pic:nvPicPr>
                          <pic:blipFill>
                            <a:blip r:embed="rId54"/>
                            <a:srcRect l="-203" t="-203" r="-203" b="-203"/>
                            <a:stretch>
                              <a:fillRect/>
                            </a:stretch>
                          </pic:blipFill>
                          <pic:spPr bwMode="auto">
                            <a:xfrm>
                              <a:off x="0" y="0"/>
                              <a:ext cx="238125" cy="238125"/>
                            </a:xfrm>
                            <a:prstGeom prst="rect">
                              <a:avLst/>
                            </a:prstGeom>
                          </pic:spPr>
                        </pic:pic>
                      </a:graphicData>
                    </a:graphic>
                  </wp:inline>
                </w:drawing>
              </w:r>
            </w:hyperlink>
            <w:r>
              <w:rPr>
                <w:rStyle w:val="Mbgl"/>
              </w:rPr>
              <w:t xml:space="preserve">) </w:t>
            </w:r>
          </w:p>
        </w:tc>
        <w:tc>
          <w:tcPr>
            <w:tcW w:w="1402" w:type="dxa"/>
            <w:tcBorders/>
            <w:shd w:fill="auto" w:val="clear"/>
            <w:tcMar>
              <w:bottom w:w="15" w:type="dxa"/>
            </w:tcMar>
            <w:vAlign w:val="center"/>
          </w:tcPr>
          <w:p>
            <w:pPr>
              <w:pStyle w:val="Normal"/>
              <w:rPr/>
            </w:pPr>
            <w:hyperlink r:id="rId55">
              <w:r>
                <w:rPr>
                  <w:rStyle w:val="InternetLink"/>
                </w:rPr>
                <w:t>Contact seller</w:t>
              </w:r>
            </w:hyperlink>
          </w:p>
        </w:tc>
      </w:tr>
    </w:tbl>
    <w:p>
      <w:pPr>
        <w:pStyle w:val="Normal"/>
        <w:rPr>
          <w:vanish/>
        </w:rPr>
      </w:pPr>
      <w:r>
        <w:rPr>
          <w:vanish/>
        </w:rPr>
      </w:r>
    </w:p>
    <w:tbl>
      <w:tblPr>
        <w:tblW w:w="5000" w:type="pct"/>
        <w:jc w:val="start"/>
        <w:tblInd w:w="-45" w:type="dxa"/>
        <w:tblBorders/>
        <w:tblCellMar>
          <w:top w:w="15" w:type="dxa"/>
          <w:start w:w="15" w:type="dxa"/>
          <w:bottom w:w="15" w:type="dxa"/>
          <w:end w:w="15" w:type="dxa"/>
        </w:tblCellMar>
      </w:tblPr>
      <w:tblGrid>
        <w:gridCol w:w="11088"/>
      </w:tblGrid>
      <w:tr>
        <w:trPr/>
        <w:tc>
          <w:tcPr>
            <w:tcW w:w="11088" w:type="dxa"/>
            <w:tcBorders/>
            <w:shd w:fill="auto" w:val="clear"/>
            <w:vAlign w:val="center"/>
          </w:tcPr>
          <w:p>
            <w:pPr>
              <w:pStyle w:val="Normal"/>
              <w:rPr>
                <w:b/>
                <w:b/>
                <w:bCs/>
              </w:rPr>
            </w:pPr>
            <w:r>
              <w:rPr>
                <w:b/>
                <w:bCs/>
              </w:rPr>
              <w:t>Order # 125303748018</w:t>
            </w:r>
          </w:p>
          <w:p>
            <w:pPr>
              <w:pStyle w:val="Normal"/>
              <w:rPr/>
            </w:pPr>
            <w:r>
              <w:rPr/>
              <w:drawing>
                <wp:inline distT="0" distB="0" distL="0" distR="0">
                  <wp:extent cx="152400" cy="152400"/>
                  <wp:effectExtent l="0" t="0" r="0" b="0"/>
                  <wp:docPr id="15"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title=""/>
                          <pic:cNvPicPr>
                            <a:picLocks noChangeAspect="1" noChangeArrowheads="1"/>
                          </pic:cNvPicPr>
                        </pic:nvPicPr>
                        <pic:blipFill>
                          <a:blip r:embed="rId56"/>
                          <a:srcRect l="-317" t="-317" r="-317" b="-317"/>
                          <a:stretch>
                            <a:fillRect/>
                          </a:stretch>
                        </pic:blipFill>
                        <pic:spPr bwMode="auto">
                          <a:xfrm>
                            <a:off x="0" y="0"/>
                            <a:ext cx="152400" cy="152400"/>
                          </a:xfrm>
                          <a:prstGeom prst="rect">
                            <a:avLst/>
                          </a:prstGeom>
                        </pic:spPr>
                      </pic:pic>
                    </a:graphicData>
                  </a:graphic>
                </wp:inline>
              </w:drawing>
            </w:r>
            <w:r>
              <w:rPr/>
              <w:t>Paid on Nov-18-12 via PayPal</w:t>
            </w:r>
          </w:p>
        </w:tc>
      </w:tr>
    </w:tbl>
    <w:p>
      <w:pPr>
        <w:pStyle w:val="Normal"/>
        <w:rPr/>
      </w:pPr>
      <w:r>
        <w:rPr/>
      </w:r>
    </w:p>
    <w:p>
      <w:pPr>
        <w:pStyle w:val="Normal"/>
        <w:rPr/>
      </w:pPr>
      <w:r>
        <w:rPr/>
        <w:t>   </w:t>
      </w:r>
      <w:r>
        <w:rPr>
          <w:rStyle w:val="Gclrght"/>
        </w:rPr>
        <w:t>Price</w:t>
      </w:r>
      <w:r>
        <w:rPr>
          <w:b/>
          <w:bCs/>
        </w:rPr>
        <w:t>Paid or notItem shipped or notFeedback left or notFeedback received or not</w:t>
      </w:r>
      <w:r>
        <w:rPr/>
        <w:t>Actions</w:t>
      </w:r>
      <w:r>
        <w:rPr>
          <w:b/>
          <w:bCs/>
        </w:rPr>
        <w:object>
          <v:shape id="ole_rId57" style="width:20.25pt;height:18pt" o:ole="">
            <v:imagedata r:id="rId58" o:title=""/>
          </v:shape>
          <o:OLEObject Type="Embed" ProgID="" ShapeID="ole_rId57" DrawAspect="Content" ObjectID="_889072247" r:id="rId57"/>
        </w:object>
      </w:r>
      <w:r>
        <w:rPr>
          <w:b/>
          <w:bCs/>
        </w:rPr>
        <w:t>antiquewd</w:t>
      </w:r>
    </w:p>
    <w:p>
      <w:pPr>
        <w:pStyle w:val="Normal"/>
        <w:rPr/>
      </w:pPr>
      <w:hyperlink r:id="rId59">
        <w:r>
          <w:rPr>
            <w:rStyle w:val="InternetLink"/>
            <w:b/>
            <w:bCs/>
          </w:rPr>
          <w:t xml:space="preserve">Member id </w:t>
        </w:r>
        <w:r>
          <w:rPr>
            <w:rStyle w:val="InternetLink"/>
          </w:rPr>
          <w:t>antiquewd</w:t>
        </w:r>
      </w:hyperlink>
      <w:r>
        <w:rPr/>
        <w:t xml:space="preserve"> </w:t>
      </w:r>
      <w:r>
        <w:rPr>
          <w:rStyle w:val="Mbcl33mbv10"/>
        </w:rPr>
        <w:t>|</w:t>
      </w:r>
      <w:r>
        <w:rPr/>
        <w:t xml:space="preserve"> </w:t>
      </w:r>
      <w:hyperlink r:id="rId60">
        <w:r>
          <w:rPr>
            <w:rStyle w:val="InternetLink"/>
            <w:b/>
            <w:bCs/>
          </w:rPr>
          <w:t>Feedback Score Of</w:t>
        </w:r>
        <w:r>
          <w:rPr>
            <w:rStyle w:val="InternetLink"/>
          </w:rPr>
          <w:t xml:space="preserve"> 1459</w:t>
        </w:r>
      </w:hyperlink>
      <w:r>
        <w:rPr/>
        <w:t xml:space="preserve"> </w:t>
      </w:r>
      <w:r>
        <w:rPr>
          <w:rStyle w:val="Mbcl33mbv10"/>
        </w:rPr>
        <w:t>|</w:t>
      </w:r>
      <w:r>
        <w:rPr/>
        <w:t xml:space="preserve"> </w:t>
      </w:r>
      <w:r>
        <w:rPr>
          <w:rStyle w:val="Mbcl66mbv10"/>
        </w:rPr>
        <w:t>98.5%</w:t>
      </w:r>
      <w:r>
        <w:rPr/>
        <w:t xml:space="preserve"> </w:t>
      </w:r>
    </w:p>
    <w:p>
      <w:pPr>
        <w:pStyle w:val="Normal"/>
        <w:rPr/>
      </w:pPr>
      <w:r>
        <w:rPr/>
        <w:br/>
        <w:br/>
      </w:r>
      <w:r>
        <w:rPr>
          <w:b/>
          <w:bCs/>
        </w:rPr>
        <w:t xml:space="preserve"> Roman style clay statue figure</w:t>
      </w:r>
    </w:p>
    <w:p>
      <w:pPr>
        <w:pStyle w:val="Normal"/>
        <w:rPr>
          <w:color w:val="0000FF"/>
        </w:rPr>
      </w:pPr>
      <w:r>
        <w:rPr>
          <w:color w:val="0000FF"/>
        </w:rPr>
        <w:drawing>
          <wp:inline distT="0" distB="0" distL="0" distR="0">
            <wp:extent cx="1209675" cy="1333500"/>
            <wp:effectExtent l="0" t="0" r="0" b="0"/>
            <wp:docPr id="16"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title=""/>
                    <pic:cNvPicPr>
                      <a:picLocks noChangeAspect="1" noChangeArrowheads="1"/>
                    </pic:cNvPicPr>
                  </pic:nvPicPr>
                  <pic:blipFill>
                    <a:blip r:embed="rId61"/>
                    <a:srcRect l="-22" t="-20" r="-22" b="-20"/>
                    <a:stretch>
                      <a:fillRect/>
                    </a:stretch>
                  </pic:blipFill>
                  <pic:spPr bwMode="auto">
                    <a:xfrm>
                      <a:off x="0" y="0"/>
                      <a:ext cx="1209675" cy="1333500"/>
                    </a:xfrm>
                    <a:prstGeom prst="rect">
                      <a:avLst/>
                    </a:prstGeom>
                  </pic:spPr>
                </pic:pic>
              </a:graphicData>
            </a:graphic>
          </wp:inline>
        </w:drawing>
      </w:r>
    </w:p>
    <w:p>
      <w:pPr>
        <w:pStyle w:val="Normal"/>
        <w:rPr/>
      </w:pPr>
      <w:hyperlink r:id="rId62">
        <w:r>
          <w:rPr>
            <w:rStyle w:val="InternetLink"/>
          </w:rPr>
          <w:t>Roman style clay statue figure</w:t>
        </w:r>
      </w:hyperlink>
      <w:r>
        <w:rPr>
          <w:rStyle w:val="Gvxs33a1"/>
        </w:rPr>
        <w:t xml:space="preserve"> (271104345336)</w:t>
      </w:r>
      <w:r>
        <w:rPr/>
        <w:t xml:space="preserve"> </w:t>
      </w:r>
    </w:p>
    <w:p>
      <w:pPr>
        <w:pStyle w:val="Normal"/>
        <w:rPr/>
      </w:pPr>
      <w:r>
        <w:rPr>
          <w:rStyle w:val="Gv331"/>
        </w:rPr>
        <w:t>Your max bid: $25.00</w:t>
      </w:r>
    </w:p>
    <w:p>
      <w:pPr>
        <w:pStyle w:val="Normal"/>
        <w:rPr/>
      </w:pPr>
      <w:r>
        <w:rPr>
          <w:rStyle w:val="Gv331"/>
        </w:rPr>
        <w:t>Sale date: 11/18/12</w:t>
      </w:r>
    </w:p>
    <w:p>
      <w:pPr>
        <w:pStyle w:val="Normal"/>
        <w:rPr/>
      </w:pPr>
      <w:r>
        <w:rPr>
          <w:rStyle w:val="Gv331"/>
        </w:rPr>
        <w:t>Tracking number: --</w:t>
      </w:r>
    </w:p>
    <w:p>
      <w:pPr>
        <w:pStyle w:val="Normal"/>
        <w:rPr/>
      </w:pPr>
      <w:r>
        <w:rPr>
          <w:rStyle w:val="Gv331"/>
        </w:rPr>
        <w:t>Estimated Delivery: 11/21/12 - 11/26/12</w:t>
      </w:r>
    </w:p>
    <w:p>
      <w:pPr>
        <w:pStyle w:val="Ggrbig"/>
        <w:rPr/>
      </w:pPr>
      <w:r>
        <w:rPr/>
        <w:t>$9.99</w:t>
      </w:r>
    </w:p>
    <w:p>
      <w:pPr>
        <w:pStyle w:val="Normal"/>
        <w:rPr>
          <w:b/>
          <w:b/>
          <w:bCs/>
        </w:rPr>
      </w:pPr>
      <w:r>
        <w:rPr>
          <w:b/>
          <w:bCs/>
        </w:rPr>
        <w:t>Paid with PayPal on November 18, 2012.</w:t>
      </w:r>
    </w:p>
    <w:p>
      <w:pPr>
        <w:pStyle w:val="Normal"/>
        <w:rPr>
          <w:b/>
          <w:b/>
          <w:bCs/>
        </w:rPr>
      </w:pPr>
      <w:r>
        <w:rPr>
          <w:b/>
          <w:bCs/>
        </w:rPr>
        <w:t>Not shipped</w:t>
      </w:r>
    </w:p>
    <w:p>
      <w:pPr>
        <w:pStyle w:val="Normal"/>
        <w:rPr>
          <w:b/>
          <w:b/>
          <w:bCs/>
        </w:rPr>
      </w:pPr>
      <w:r>
        <w:rPr>
          <w:b/>
          <w:bCs/>
        </w:rPr>
        <w:t>Feedback not left</w:t>
      </w:r>
    </w:p>
    <w:p>
      <w:pPr>
        <w:pStyle w:val="Normal"/>
        <w:rPr>
          <w:b/>
          <w:b/>
          <w:bCs/>
        </w:rPr>
      </w:pPr>
      <w:r>
        <w:rPr>
          <w:b/>
          <w:bCs/>
        </w:rPr>
        <w:t>Feedback not received</w:t>
      </w:r>
    </w:p>
    <w:tbl>
      <w:tblPr>
        <w:tblW w:w="1500" w:type="dxa"/>
        <w:jc w:val="start"/>
        <w:tblInd w:w="0" w:type="dxa"/>
        <w:tblBorders/>
        <w:tblCellMar>
          <w:top w:w="0" w:type="dxa"/>
          <w:start w:w="0" w:type="dxa"/>
          <w:bottom w:w="0" w:type="dxa"/>
          <w:end w:w="0" w:type="dxa"/>
        </w:tblCellMar>
      </w:tblPr>
      <w:tblGrid>
        <w:gridCol w:w="1500"/>
      </w:tblGrid>
      <w:tr>
        <w:trPr/>
        <w:tc>
          <w:tcPr>
            <w:tcW w:w="1500" w:type="dxa"/>
            <w:tcBorders/>
            <w:shd w:fill="auto" w:val="clear"/>
          </w:tcPr>
          <w:p>
            <w:pPr>
              <w:pStyle w:val="Normal"/>
              <w:rPr/>
            </w:pPr>
            <w:hyperlink r:id="rId63" w:tgtFrame="_top">
              <w:r>
                <w:rPr>
                  <w:rStyle w:val="InternetLink"/>
                  <w:b/>
                  <w:bCs/>
                </w:rPr>
                <w:t>Leave feedback</w:t>
              </w:r>
            </w:hyperlink>
          </w:p>
        </w:tc>
      </w:tr>
      <w:tr>
        <w:trPr/>
        <w:tc>
          <w:tcPr>
            <w:tcW w:w="1500" w:type="dxa"/>
            <w:tcBorders/>
            <w:shd w:fill="auto" w:val="clear"/>
          </w:tcPr>
          <w:p>
            <w:pPr>
              <w:pStyle w:val="Normal"/>
              <w:rPr/>
            </w:pPr>
            <w:hyperlink r:id="rId64" w:tgtFrame="_top">
              <w:r>
                <w:rPr>
                  <w:rStyle w:val="InternetLink"/>
                </w:rPr>
                <w:t>Sell this item</w:t>
              </w:r>
            </w:hyperlink>
          </w:p>
        </w:tc>
      </w:tr>
      <w:tr>
        <w:trPr/>
        <w:tc>
          <w:tcPr>
            <w:tcW w:w="1500" w:type="dxa"/>
            <w:tcBorders/>
            <w:shd w:fill="auto" w:val="clear"/>
          </w:tcPr>
          <w:p>
            <w:pPr>
              <w:pStyle w:val="Normal"/>
              <w:rPr/>
            </w:pPr>
            <w:hyperlink r:id="rId65">
              <w:r>
                <w:rPr>
                  <w:rStyle w:val="Ctact"/>
                  <w:color w:val="0000FF"/>
                  <w:u w:val="single"/>
                </w:rPr>
                <w:t>More actions</w:t>
              </w:r>
            </w:hyperlink>
          </w:p>
        </w:tc>
      </w:tr>
    </w:tbl>
    <w:p>
      <w:pPr>
        <w:pStyle w:val="Normal"/>
        <w:rPr/>
      </w:pPr>
      <w:r>
        <w:rPr/>
      </w:r>
    </w:p>
    <w:sectPr>
      <w:footnotePr>
        <w:numFmt w:val="decimal"/>
      </w:footnotePr>
      <w:type w:val="nextPage"/>
      <w:pgSz w:w="12240" w:h="15840"/>
      <w:pgMar w:left="576" w:right="576" w:header="0" w:top="576" w:footer="0" w:bottom="576" w:gutter="0"/>
      <w:pgNumType w:fmt="decimal"/>
      <w:formProt w:val="false"/>
      <w:titlePg/>
      <w:textDirection w:val="lrTb"/>
      <w:docGrid w:type="default" w:linePitch="326"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ans">
    <w:altName w:val="Arial"/>
    <w:charset w:val="01" w:characterSet="utf-8"/>
    <w:family w:val="swiss"/>
    <w:pitch w:val="variable"/>
  </w:font>
  <w:font w:name="Verdana">
    <w:charset w:val="00" w:characterSet="windows-1252"/>
    <w:family w:val="swiss"/>
    <w:pitch w:val="variable"/>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Footnote"/>
        <w:jc w:val="start"/>
        <w:rPr/>
      </w:pPr>
      <w:r>
        <w:rPr>
          <w:rStyle w:val="FootnoteCharacters"/>
        </w:rPr>
        <w:footnoteRef/>
      </w:r>
      <w:r>
        <w:rPr>
          <w:rtl w:val="true"/>
        </w:rPr>
        <w:t xml:space="preserve"> </w:t>
      </w:r>
      <w:r>
        <w:rPr/>
        <w:t>This story also explains the first term in this list</w:t>
      </w:r>
      <w:r>
        <w:rPr>
          <w:rtl w:val="true"/>
        </w:rPr>
        <w:t>.</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start"/>
      <w:pPr>
        <w:ind w:start="0" w:hanging="0"/>
      </w:pPr>
    </w:lvl>
    <w:lvl w:ilvl="1">
      <w:start w:val="1"/>
      <w:pStyle w:val="Heading2"/>
      <w:numFmt w:val="none"/>
      <w:suff w:val="nothing"/>
      <w:lvlText w:val=""/>
      <w:lvlJc w:val="start"/>
      <w:pPr>
        <w:ind w:start="0" w:hanging="0"/>
      </w:pPr>
    </w:lvl>
    <w:lvl w:ilvl="2">
      <w:start w:val="1"/>
      <w:numFmt w:val="none"/>
      <w:suff w:val="nothing"/>
      <w:lvlText w:val=""/>
      <w:lvlJc w:val="start"/>
      <w:pPr>
        <w:ind w:start="0" w:hanging="0"/>
      </w:pPr>
    </w:lvl>
    <w:lvl w:ilvl="3">
      <w:start w:val="1"/>
      <w:numFmt w:val="none"/>
      <w:suff w:val="nothing"/>
      <w:lvlText w:val=""/>
      <w:lvlJc w:val="start"/>
      <w:pPr>
        <w:ind w:start="0" w:hanging="0"/>
      </w:pPr>
    </w:lvl>
    <w:lvl w:ilvl="4">
      <w:start w:val="1"/>
      <w:numFmt w:val="none"/>
      <w:suff w:val="nothing"/>
      <w:lvlText w:val=""/>
      <w:lvlJc w:val="start"/>
      <w:pPr>
        <w:ind w:start="0" w:hanging="0"/>
      </w:pPr>
    </w:lvl>
    <w:lvl w:ilvl="5">
      <w:start w:val="1"/>
      <w:numFmt w:val="none"/>
      <w:suff w:val="nothing"/>
      <w:lvlText w:val=""/>
      <w:lvlJc w:val="start"/>
      <w:pPr>
        <w:ind w:start="0" w:hanging="0"/>
      </w:pPr>
    </w:lvl>
    <w:lvl w:ilvl="6">
      <w:start w:val="1"/>
      <w:numFmt w:val="none"/>
      <w:suff w:val="nothing"/>
      <w:lvlText w:val=""/>
      <w:lvlJc w:val="start"/>
      <w:pPr>
        <w:ind w:start="0" w:hanging="0"/>
      </w:pPr>
    </w:lvl>
    <w:lvl w:ilvl="7">
      <w:start w:val="1"/>
      <w:numFmt w:val="none"/>
      <w:suff w:val="nothing"/>
      <w:lvlText w:val=""/>
      <w:lvlJc w:val="start"/>
      <w:pPr>
        <w:ind w:start="0" w:hanging="0"/>
      </w:pPr>
    </w:lvl>
    <w:lvl w:ilvl="8">
      <w:start w:val="1"/>
      <w:numFmt w:val="none"/>
      <w:suff w:val="nothing"/>
      <w:lvlText w:val=""/>
      <w:lvlJc w:val="start"/>
      <w:pPr>
        <w:ind w:start="0" w:hanging="0"/>
      </w:pPr>
    </w:lvl>
  </w:abstractNum>
  <w:abstractNum w:abstractNumId="2">
    <w:lvl w:ilvl="0">
      <w:start w:val="1"/>
      <w:numFmt w:val="decimal"/>
      <w:lvlText w:val="%1."/>
      <w:lvlJc w:val="start"/>
      <w:pPr>
        <w:tabs>
          <w:tab w:val="num" w:pos="360"/>
        </w:tabs>
        <w:ind w:start="360" w:hanging="360"/>
      </w:pPr>
      <w:rPr/>
    </w:lvl>
  </w:abstractNum>
  <w:num w:numId="1">
    <w:abstractNumId w:val="1"/>
  </w:num>
  <w:num w:numId="2">
    <w:abstractNumId w:val="2"/>
  </w:num>
</w:numbering>
</file>

<file path=word/settings.xml><?xml version="1.0" encoding="utf-8"?>
<w:settings xmlns:w="http://schemas.openxmlformats.org/wordprocessingml/2006/main">
  <w:zoom w:percent="100"/>
  <w:defaultTabStop w:val="720"/>
  <w:footnotePr>
    <w:numFmt w:val="decimal"/>
    <w:footnote w:id="0"/>
    <w:footnote w:id="1"/>
  </w:footnotePr>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SimSun;宋体" w:cs="Times New Roman"/>
      <w:color w:val="auto"/>
      <w:sz w:val="24"/>
      <w:szCs w:val="24"/>
      <w:lang w:val="en-US" w:eastAsia="zh-CN" w:bidi="ar-SA"/>
    </w:rPr>
  </w:style>
  <w:style w:type="paragraph" w:styleId="Heading2">
    <w:name w:val="Heading 2"/>
    <w:basedOn w:val="Normal"/>
    <w:next w:val="TextBody"/>
    <w:qFormat/>
    <w:pPr>
      <w:numPr>
        <w:ilvl w:val="1"/>
        <w:numId w:val="1"/>
      </w:numPr>
      <w:spacing w:before="280" w:after="280"/>
      <w:outlineLvl w:val="1"/>
    </w:pPr>
    <w:rPr>
      <w:b/>
      <w:bCs/>
      <w:sz w:val="36"/>
      <w:szCs w:val="36"/>
    </w:rPr>
  </w:style>
  <w:style w:type="character" w:styleId="WW8Num1z0">
    <w:name w:val="WW8Num1z0"/>
    <w:qFormat/>
    <w:rPr/>
  </w:style>
  <w:style w:type="character" w:styleId="WW8Num1z1">
    <w:name w:val="WW8Num1z1"/>
    <w:qFormat/>
    <w:rPr/>
  </w:style>
  <w:style w:type="character" w:styleId="WW8Num1z2">
    <w:name w:val="WW8Num1z2"/>
    <w:qFormat/>
    <w:rPr/>
  </w:style>
  <w:style w:type="character" w:styleId="WW8Num1z3">
    <w:name w:val="WW8Num1z3"/>
    <w:qFormat/>
    <w:rPr/>
  </w:style>
  <w:style w:type="character" w:styleId="WW8Num1z4">
    <w:name w:val="WW8Num1z4"/>
    <w:qFormat/>
    <w:rPr/>
  </w:style>
  <w:style w:type="character" w:styleId="WW8Num1z5">
    <w:name w:val="WW8Num1z5"/>
    <w:qFormat/>
    <w:rPr/>
  </w:style>
  <w:style w:type="character" w:styleId="WW8Num1z6">
    <w:name w:val="WW8Num1z6"/>
    <w:qFormat/>
    <w:rPr/>
  </w:style>
  <w:style w:type="character" w:styleId="WW8Num1z7">
    <w:name w:val="WW8Num1z7"/>
    <w:qFormat/>
    <w:rPr/>
  </w:style>
  <w:style w:type="character" w:styleId="WW8Num1z8">
    <w:name w:val="WW8Num1z8"/>
    <w:qFormat/>
    <w:rPr/>
  </w:style>
  <w:style w:type="character" w:styleId="DefaultParagraphFont">
    <w:name w:val="Default Paragraph Font"/>
    <w:qFormat/>
    <w:rPr/>
  </w:style>
  <w:style w:type="character" w:styleId="Gclrght">
    <w:name w:val="g-clrght"/>
    <w:basedOn w:val="DefaultParagraphFont"/>
    <w:qFormat/>
    <w:rPr/>
  </w:style>
  <w:style w:type="character" w:styleId="InternetLink">
    <w:name w:val="Internet Link"/>
    <w:basedOn w:val="DefaultParagraphFont"/>
    <w:rPr>
      <w:color w:val="0000FF"/>
      <w:u w:val="single"/>
    </w:rPr>
  </w:style>
  <w:style w:type="character" w:styleId="Mbcl33mbv10">
    <w:name w:val="mb-cl33 mb-v10"/>
    <w:basedOn w:val="DefaultParagraphFont"/>
    <w:qFormat/>
    <w:rPr/>
  </w:style>
  <w:style w:type="character" w:styleId="Mbcl66mbv10">
    <w:name w:val="mb-cl66 mb-v10"/>
    <w:basedOn w:val="DefaultParagraphFont"/>
    <w:qFormat/>
    <w:rPr/>
  </w:style>
  <w:style w:type="character" w:styleId="Ctact">
    <w:name w:val="cta-ct"/>
    <w:basedOn w:val="DefaultParagraphFont"/>
    <w:qFormat/>
    <w:rPr/>
  </w:style>
  <w:style w:type="character" w:styleId="Gvxs33a1">
    <w:name w:val="g_vxs33a1"/>
    <w:basedOn w:val="DefaultParagraphFont"/>
    <w:qFormat/>
    <w:rPr/>
  </w:style>
  <w:style w:type="character" w:styleId="Gv331">
    <w:name w:val="g-v331"/>
    <w:basedOn w:val="DefaultParagraphFont"/>
    <w:qFormat/>
    <w:rPr/>
  </w:style>
  <w:style w:type="character" w:styleId="Orderdetailsalignprinterversion">
    <w:name w:val="orderdetails_alignprinterversion"/>
    <w:basedOn w:val="DefaultParagraphFont"/>
    <w:qFormat/>
    <w:rPr/>
  </w:style>
  <w:style w:type="character" w:styleId="Mbgnw">
    <w:name w:val="mbg-nw"/>
    <w:basedOn w:val="DefaultParagraphFont"/>
    <w:qFormat/>
    <w:rPr/>
  </w:style>
  <w:style w:type="character" w:styleId="Mbgl">
    <w:name w:val="mbg-l"/>
    <w:basedOn w:val="DefaultParagraphFont"/>
    <w:qFormat/>
    <w:rPr/>
  </w:style>
  <w:style w:type="character" w:styleId="VisitedInternetLink">
    <w:name w:val="Visited Internet Link"/>
    <w:basedOn w:val="DefaultParagraphFont"/>
    <w:rPr>
      <w:color w:val="800080"/>
      <w:u w:val="single"/>
    </w:rPr>
  </w:style>
  <w:style w:type="character" w:styleId="StrongEmphasis">
    <w:name w:val="Strong Emphasis"/>
    <w:basedOn w:val="DefaultParagraphFont"/>
    <w:qFormat/>
    <w:rPr>
      <w:b/>
      <w:bCs/>
    </w:rPr>
  </w:style>
  <w:style w:type="character" w:styleId="Unicode">
    <w:name w:val="unicode"/>
    <w:basedOn w:val="DefaultParagraphFont"/>
    <w:qFormat/>
    <w:rPr/>
  </w:style>
  <w:style w:type="character" w:styleId="Description">
    <w:name w:val="description"/>
    <w:basedOn w:val="DefaultParagraphFont"/>
    <w:qFormat/>
    <w:rPr/>
  </w:style>
  <w:style w:type="character" w:styleId="Mwcitebacklink">
    <w:name w:val="mw-cite-backlink"/>
    <w:basedOn w:val="DefaultParagraphFont"/>
    <w:qFormat/>
    <w:rPr/>
  </w:style>
  <w:style w:type="character" w:styleId="Referencetext">
    <w:name w:val="reference-text"/>
    <w:basedOn w:val="DefaultParagraphFont"/>
    <w:qFormat/>
    <w:rPr/>
  </w:style>
  <w:style w:type="character" w:styleId="Citation">
    <w:name w:val="citation"/>
    <w:basedOn w:val="DefaultParagraphFont"/>
    <w:qFormat/>
    <w:rPr/>
  </w:style>
  <w:style w:type="character" w:styleId="Citationbook">
    <w:name w:val="citation book"/>
    <w:basedOn w:val="DefaultParagraphFont"/>
    <w:qFormat/>
    <w:rPr/>
  </w:style>
  <w:style w:type="character" w:styleId="Locality">
    <w:name w:val="locality"/>
    <w:basedOn w:val="DefaultParagraphFont"/>
    <w:qFormat/>
    <w:rPr/>
  </w:style>
  <w:style w:type="character" w:styleId="Itempublisher">
    <w:name w:val="itempublisher"/>
    <w:basedOn w:val="DefaultParagraphFont"/>
    <w:qFormat/>
    <w:rPr/>
  </w:style>
  <w:style w:type="character" w:styleId="Copy">
    <w:name w:val="copy"/>
    <w:basedOn w:val="DefaultParagraphFont"/>
    <w:qFormat/>
    <w:rPr/>
  </w:style>
  <w:style w:type="character" w:styleId="FootnoteCharacters">
    <w:name w:val="Footnote Characters"/>
    <w:basedOn w:val="DefaultParagraphFont"/>
    <w:qFormat/>
    <w:rPr>
      <w:vertAlign w:val="superscript"/>
    </w:rPr>
  </w:style>
  <w:style w:type="character" w:styleId="FootnoteAnchor">
    <w:name w:val="Footnote Anchor"/>
    <w:rPr>
      <w:vertAlign w:val="superscript"/>
    </w:rPr>
  </w:style>
  <w:style w:type="character" w:styleId="EndnoteAnchor">
    <w:name w:val="Endnote Anchor"/>
    <w:rPr>
      <w:vertAlign w:val="superscript"/>
    </w:rPr>
  </w:style>
  <w:style w:type="character" w:styleId="EndnoteCharacters">
    <w:name w:val="Endnote Characters"/>
    <w:qFormat/>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Ggrbig">
    <w:name w:val="g-grbig"/>
    <w:basedOn w:val="Normal"/>
    <w:qFormat/>
    <w:pPr>
      <w:spacing w:before="280" w:after="280"/>
    </w:pPr>
    <w:rPr/>
  </w:style>
  <w:style w:type="paragraph" w:styleId="Gvxs33a">
    <w:name w:val="g_vxs33a"/>
    <w:basedOn w:val="Normal"/>
    <w:qFormat/>
    <w:pPr>
      <w:spacing w:before="280" w:after="280"/>
    </w:pPr>
    <w:rPr/>
  </w:style>
  <w:style w:type="paragraph" w:styleId="Gv33">
    <w:name w:val="g-v33"/>
    <w:basedOn w:val="Normal"/>
    <w:qFormat/>
    <w:pPr>
      <w:spacing w:before="280" w:after="280"/>
    </w:pPr>
    <w:rPr/>
  </w:style>
  <w:style w:type="paragraph" w:styleId="NormalWeb">
    <w:name w:val="Normal (Web)"/>
    <w:basedOn w:val="Normal"/>
    <w:qFormat/>
    <w:pPr>
      <w:spacing w:before="280" w:after="280"/>
    </w:pPr>
    <w:rPr/>
  </w:style>
  <w:style w:type="paragraph" w:styleId="Footnote">
    <w:name w:val="Footnote Text"/>
    <w:basedOn w:val="Normal"/>
    <w:pPr>
      <w:bidi w:val="1"/>
      <w:ind w:start="0" w:end="0" w:hanging="0"/>
      <w:jc w:val="start"/>
    </w:pPr>
    <w:rPr>
      <w:rFonts w:eastAsia="Times New Roman"/>
      <w:sz w:val="20"/>
      <w:szCs w:val="20"/>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numbering" w:styleId="WW8Num1">
    <w:name w:val="WW8Num1"/>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hyperlink" Target="http://en.wikipedia.org/wiki/Arabic_language" TargetMode="External"/><Relationship Id="rId5" Type="http://schemas.openxmlformats.org/officeDocument/2006/relationships/hyperlink" Target="http://en.wikipedia.org/wiki/Mecca" TargetMode="External"/><Relationship Id="rId6" Type="http://schemas.openxmlformats.org/officeDocument/2006/relationships/hyperlink" Target="http://en.wikipedia.org/wiki/Nabataeans" TargetMode="External"/><Relationship Id="rId7" Type="http://schemas.openxmlformats.org/officeDocument/2006/relationships/hyperlink" Target="http://en.wikipedia.org/wiki/Petra" TargetMode="External"/><Relationship Id="rId8" Type="http://schemas.openxmlformats.org/officeDocument/2006/relationships/hyperlink" Target="http://en.wikipedia.org/wiki/Nemesis_(mythology)" TargetMode="External"/><Relationship Id="rId9" Type="http://schemas.openxmlformats.org/officeDocument/2006/relationships/hyperlink" Target="http://en.wikipedia.org/wiki/Hubal" TargetMode="External"/><Relationship Id="rId10" Type="http://schemas.openxmlformats.org/officeDocument/2006/relationships/hyperlink" Target="http://en.wikipedia.org/wiki/Qur&apos;an" TargetMode="External"/><Relationship Id="rId11" Type="http://schemas.openxmlformats.org/officeDocument/2006/relationships/hyperlink" Target="http://en.wikipedia.org/wiki/Al-l&#257;t" TargetMode="External"/><Relationship Id="rId12" Type="http://schemas.openxmlformats.org/officeDocument/2006/relationships/hyperlink" Target="http://en.wikipedia.org/wiki/Al-&#8216;Uzz&#225;" TargetMode="External"/><Relationship Id="rId13" Type="http://schemas.openxmlformats.org/officeDocument/2006/relationships/hyperlink" Target="http://en.wikipedia.org/wiki/Tyche" TargetMode="External"/><Relationship Id="rId14" Type="http://schemas.openxmlformats.org/officeDocument/2006/relationships/hyperlink" Target="http://en.wikipedia.org/w/index.php?title=Dahr&amp;action=edit&amp;redlink=1" TargetMode="External"/><Relationship Id="rId15" Type="http://schemas.openxmlformats.org/officeDocument/2006/relationships/hyperlink" Target="http://en.wikipedia.org/wiki/Chronos" TargetMode="External"/><Relationship Id="rId16" Type="http://schemas.openxmlformats.org/officeDocument/2006/relationships/hyperlink" Target="http://en.wikipedia.org/wiki/Mithraism" TargetMode="External"/><Relationship Id="rId17" Type="http://schemas.openxmlformats.org/officeDocument/2006/relationships/hyperlink" Target="http://en.wikipedia.org/wiki/Zurvan" TargetMode="External"/><Relationship Id="rId18" Type="http://schemas.openxmlformats.org/officeDocument/2006/relationships/hyperlink" Target="http://en.wikipedia.org/wiki/Book_of_Idols" TargetMode="External"/><Relationship Id="rId19" Type="http://schemas.openxmlformats.org/officeDocument/2006/relationships/hyperlink" Target="http://en.wikipedia.org/wiki/Medina" TargetMode="External"/><Relationship Id="rId20" Type="http://schemas.openxmlformats.org/officeDocument/2006/relationships/hyperlink" Target="http://en.wikipedia.org/wiki/Mecca" TargetMode="External"/><Relationship Id="rId21" Type="http://schemas.openxmlformats.org/officeDocument/2006/relationships/hyperlink" Target="http://en.wikipedia.org/wiki/Yathrib" TargetMode="External"/><Relationship Id="rId22" Type="http://schemas.openxmlformats.org/officeDocument/2006/relationships/image" Target="media/image3.jpeg"/><Relationship Id="rId23" Type="http://schemas.openxmlformats.org/officeDocument/2006/relationships/image" Target="media/image4.jpeg"/><Relationship Id="rId24" Type="http://schemas.openxmlformats.org/officeDocument/2006/relationships/image" Target="media/image5.jpeg"/><Relationship Id="rId25" Type="http://schemas.openxmlformats.org/officeDocument/2006/relationships/image" Target="media/image6.jpeg"/><Relationship Id="rId26" Type="http://schemas.openxmlformats.org/officeDocument/2006/relationships/image" Target="media/image7.jpeg"/><Relationship Id="rId27" Type="http://schemas.openxmlformats.org/officeDocument/2006/relationships/image" Target="media/image8.jpeg"/><Relationship Id="rId28" Type="http://schemas.openxmlformats.org/officeDocument/2006/relationships/image" Target="media/image9.jpeg"/><Relationship Id="rId29" Type="http://schemas.openxmlformats.org/officeDocument/2006/relationships/hyperlink" Target="http://en.wikipedia.org/wiki/Nemesis_(mythology)" TargetMode="External"/><Relationship Id="rId30" Type="http://schemas.openxmlformats.org/officeDocument/2006/relationships/hyperlink" Target="http://en.wikipedia.org/wiki/All&#257;t" TargetMode="External"/><Relationship Id="rId31" Type="http://schemas.openxmlformats.org/officeDocument/2006/relationships/hyperlink" Target="http://en.wikipedia.org/wiki/Nabataeans" TargetMode="External"/><Relationship Id="rId32" Type="http://schemas.openxmlformats.org/officeDocument/2006/relationships/hyperlink" Target="http://en.wikipedia.org/wiki/Petra" TargetMode="External"/><Relationship Id="rId33" Type="http://schemas.openxmlformats.org/officeDocument/2006/relationships/hyperlink" Target="http://en.wikipedia.org/wiki/Nemesis_(mythology)" TargetMode="External"/><Relationship Id="rId34" Type="http://schemas.openxmlformats.org/officeDocument/2006/relationships/hyperlink" Target="http://en.wikipedia.org/wiki/Hubal" TargetMode="External"/><Relationship Id="rId35" Type="http://schemas.openxmlformats.org/officeDocument/2006/relationships/hyperlink" Target="http://en.wikipedia.org/wiki/Qur&apos;an" TargetMode="External"/><Relationship Id="rId36" Type="http://schemas.openxmlformats.org/officeDocument/2006/relationships/hyperlink" Target="http://en.wikipedia.org/wiki/Al-l&#257;t" TargetMode="External"/><Relationship Id="rId37" Type="http://schemas.openxmlformats.org/officeDocument/2006/relationships/hyperlink" Target="http://en.wikipedia.org/wiki/Al-&#8216;Uzz&#225;" TargetMode="External"/><Relationship Id="rId38" Type="http://schemas.openxmlformats.org/officeDocument/2006/relationships/hyperlink" Target="http://books.google.co.uk/books?id=XxG8BsHNw-MC&amp;pg=PA46" TargetMode="External"/><Relationship Id="rId39" Type="http://schemas.openxmlformats.org/officeDocument/2006/relationships/hyperlink" Target="http://en.wikipedia.org/wiki/International_Standard_Book_Number" TargetMode="External"/><Relationship Id="rId40" Type="http://schemas.openxmlformats.org/officeDocument/2006/relationships/hyperlink" Target="http://en.wikipedia.org/wiki/Special:BookSources/978-0887066917" TargetMode="External"/><Relationship Id="rId41" Type="http://schemas.openxmlformats.org/officeDocument/2006/relationships/hyperlink" Target="http://mosab.hawarey.org/" TargetMode="External"/><Relationship Id="rId42" Type="http://schemas.openxmlformats.org/officeDocument/2006/relationships/hyperlink" Target="http://www.islamic-book.net/ar/Rihlat-Alnobowwah.htm" TargetMode="External"/><Relationship Id="rId43" Type="http://schemas.openxmlformats.org/officeDocument/2006/relationships/hyperlink" Target="http://military.hawarey.org/military_english.htm" TargetMode="External"/><Relationship Id="rId44" Type="http://schemas.openxmlformats.org/officeDocument/2006/relationships/hyperlink" Target="http://www.webcitation.org/5zLhjeYyz" TargetMode="External"/><Relationship Id="rId45" Type="http://schemas.openxmlformats.org/officeDocument/2006/relationships/hyperlink" Target="http://books.google.co.uk/books?id=YTwBAAAAQAAJ&amp;pg=PA207" TargetMode="External"/><Relationship Id="rId46" Type="http://schemas.openxmlformats.org/officeDocument/2006/relationships/hyperlink" Target="http://books.google.co.uk/books?id=YTwBAAAAQAAJ&amp;pg=PA205" TargetMode="External"/><Relationship Id="rId47" Type="http://schemas.openxmlformats.org/officeDocument/2006/relationships/image" Target="media/image10.png"/><Relationship Id="rId48" Type="http://schemas.openxmlformats.org/officeDocument/2006/relationships/image" Target="media/image11.png"/><Relationship Id="rId49" Type="http://schemas.openxmlformats.org/officeDocument/2006/relationships/image" Target="media/image12.png"/><Relationship Id="rId50" Type="http://schemas.openxmlformats.org/officeDocument/2006/relationships/image" Target="media/image13.png"/><Relationship Id="rId51" Type="http://schemas.openxmlformats.org/officeDocument/2006/relationships/hyperlink" Target="http://payments.ebay.com/ws/eBayISAPI.dll?ViewPaymentStatus&amp;transid=0&amp;userloginid=802-867&amp;orderid=125303748018&amp;printerversion=true&amp;itemid=271104286471" TargetMode="External"/><Relationship Id="rId52" Type="http://schemas.openxmlformats.org/officeDocument/2006/relationships/hyperlink" Target="http://myworld.ebay.com/antiquewd" TargetMode="External"/><Relationship Id="rId53" Type="http://schemas.openxmlformats.org/officeDocument/2006/relationships/hyperlink" Target="http://feedback.ebay.com/ws/eBayISAPI.dll?ViewFeedback&amp;userid=antiquewd" TargetMode="External"/><Relationship Id="rId54" Type="http://schemas.openxmlformats.org/officeDocument/2006/relationships/image" Target="media/image14.png"/><Relationship Id="rId55" Type="http://schemas.openxmlformats.org/officeDocument/2006/relationships/hyperlink" Target="http://contact.ebay.com/ws/eBayISAPI.dll?ShowCoreAskSellerQuestion&amp;frm=3998&amp;iid=0&amp;redirect=0&amp;requested=antiquewd" TargetMode="External"/><Relationship Id="rId56" Type="http://schemas.openxmlformats.org/officeDocument/2006/relationships/image" Target="media/image15.png"/><Relationship Id="rId57" Type="http://schemas.openxmlformats.org/officeDocument/2006/relationships/oleObject" Target="embeddings/oleObject1.bin"/><Relationship Id="rId58" Type="http://schemas.openxmlformats.org/officeDocument/2006/relationships/image" Target="media/image16.wmf"/><Relationship Id="rId59" Type="http://schemas.openxmlformats.org/officeDocument/2006/relationships/hyperlink" Target="http://myworld.ebay.com/antiquewd/&amp;_trksid=p3984.m1439.l2754" TargetMode="External"/><Relationship Id="rId60" Type="http://schemas.openxmlformats.org/officeDocument/2006/relationships/hyperlink" Target="http://feedback.ebay.com/ws/eBayISAPI.dll?ViewFeedback2&amp;userid=antiquewd&amp;_trksid=p3984.m1439.l2776" TargetMode="External"/><Relationship Id="rId61" Type="http://schemas.openxmlformats.org/officeDocument/2006/relationships/image" Target="media/image17.jpeg"/><Relationship Id="rId62" Type="http://schemas.openxmlformats.org/officeDocument/2006/relationships/hyperlink" Target="http://www.ebay.com/itm/271104345336?ssPageName=STRK:MEWNX:IT&amp;_trksid=p3984.m1439.l2649" TargetMode="External"/><Relationship Id="rId63" Type="http://schemas.openxmlformats.org/officeDocument/2006/relationships/hyperlink" Target="http://feedback.ebay.com/ws/eBayISAPI.dll?LeaveFeedbackShow&amp;useridto=antiquewd&amp;item=271104345336&amp;transactID=0&amp;ssPageName=STRK:MEWNX:LF&amp;_trksid=p3984.m1439.l2665" TargetMode="External"/><Relationship Id="rId64" Type="http://schemas.openxmlformats.org/officeDocument/2006/relationships/hyperlink" Target="http://cgi5.ebay.com/ws/eBayISAPI.dll?SellLikeItem&amp;item=271104345336&amp;ssPageName=STRK:MEWNX:LILT&amp;_trksid=p3984.m1439.l2667" TargetMode="External"/><Relationship Id="rId65" Type="http://schemas.openxmlformats.org/officeDocument/2006/relationships/hyperlink" Target="javascript:;" TargetMode="External"/><Relationship Id="rId66" Type="http://schemas.openxmlformats.org/officeDocument/2006/relationships/footnotes" Target="footnotes.xml"/><Relationship Id="rId67" Type="http://schemas.openxmlformats.org/officeDocument/2006/relationships/numbering" Target="numbering.xml"/><Relationship Id="rId68" Type="http://schemas.openxmlformats.org/officeDocument/2006/relationships/fontTable" Target="fontTable.xml"/><Relationship Id="rId69" Type="http://schemas.openxmlformats.org/officeDocument/2006/relationships/settings" Target="settings.xml"/><Relationship Id="rId70" Type="http://schemas.microsoft.com/office/2006/relationships/vbaProject" Target="vbaProject.bin"/>
</Relationships>
</file>

<file path=docProps/app.xml><?xml version="1.0" encoding="utf-8"?>
<Properties xmlns="http://schemas.openxmlformats.org/officeDocument/2006/extended-properties" xmlns:vt="http://schemas.openxmlformats.org/officeDocument/2006/docPropsVTypes">
  <Template>Normal</Template>
  <TotalTime>31</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2013-01-24T18:31:00Z</dcterms:created>
  <dc:creator>USER</dc:creator>
  <dc:description/>
  <dc:language>en-US</dc:language>
  <cp:lastModifiedBy>USER</cp:lastModifiedBy>
  <dcterms:modified xsi:type="dcterms:W3CDTF">2013-02-03T17:27:00Z</dcterms:modified>
  <cp:revision>6</cp:revision>
  <dc:subject/>
  <dc:title>Eur-Roman-Woman on Camel</dc:title>
</cp:coreProperties>
</file>